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7AA26" w14:textId="18539B66" w:rsidR="008653D3" w:rsidRPr="008653D3" w:rsidRDefault="00116F10" w:rsidP="008653D3">
      <w:pPr>
        <w:rPr>
          <w:rFonts w:ascii="Times New Roman" w:eastAsia="Times New Roman" w:hAnsi="Times New Roman" w:cs="Times New Roman"/>
        </w:rPr>
      </w:pPr>
      <w:r>
        <w:rPr>
          <w:rFonts w:asciiTheme="majorHAnsi" w:hAnsiTheme="majorHAnsi"/>
        </w:rPr>
        <w:t>This is a r</w:t>
      </w:r>
      <w:r w:rsidR="008D1A07" w:rsidRPr="009B1B7E">
        <w:rPr>
          <w:rFonts w:asciiTheme="majorHAnsi" w:hAnsiTheme="majorHAnsi"/>
        </w:rPr>
        <w:t xml:space="preserve">esponse to </w:t>
      </w:r>
      <w:r w:rsidR="008653D3" w:rsidRPr="008653D3">
        <w:rPr>
          <w:rFonts w:ascii="Arial" w:eastAsia="Times New Roman" w:hAnsi="Arial" w:cs="Arial"/>
          <w:color w:val="000000"/>
          <w:sz w:val="23"/>
          <w:szCs w:val="23"/>
        </w:rPr>
        <w:t>Response to Ben Orlove,</w:t>
      </w:r>
      <w:r w:rsidR="008653D3" w:rsidRPr="008653D3">
        <w:rPr>
          <w:rFonts w:ascii="MS Gothic" w:eastAsia="MS Gothic" w:hAnsi="MS Gothic" w:cs="MS Gothic"/>
          <w:color w:val="000000"/>
          <w:sz w:val="23"/>
          <w:szCs w:val="23"/>
        </w:rPr>
        <w:t> </w:t>
      </w:r>
      <w:r w:rsidR="008653D3" w:rsidRPr="008653D3">
        <w:rPr>
          <w:rFonts w:ascii="Arial" w:eastAsia="Times New Roman" w:hAnsi="Arial" w:cs="Arial"/>
          <w:color w:val="000000"/>
          <w:sz w:val="23"/>
          <w:szCs w:val="23"/>
        </w:rPr>
        <w:t xml:space="preserve"> Heather Lazrus, Grete K. Hovelsrud, Alessandra Giannini. 2014. “Recognitions and Responsibilities: On the Origins and Consequences of the Uneven Attention to Climate Change around the World” </w:t>
      </w:r>
      <w:r w:rsidR="008653D3" w:rsidRPr="00116F10">
        <w:rPr>
          <w:rFonts w:ascii="Arial" w:eastAsia="Times New Roman" w:hAnsi="Arial" w:cs="Arial"/>
          <w:i/>
          <w:color w:val="000000"/>
          <w:sz w:val="23"/>
          <w:szCs w:val="23"/>
        </w:rPr>
        <w:t>Current Anthropology</w:t>
      </w:r>
      <w:r w:rsidR="008653D3" w:rsidRPr="008653D3">
        <w:rPr>
          <w:rFonts w:ascii="Arial" w:eastAsia="Times New Roman" w:hAnsi="Arial" w:cs="Arial"/>
          <w:color w:val="000000"/>
          <w:sz w:val="23"/>
          <w:szCs w:val="23"/>
        </w:rPr>
        <w:t>, 55(3), pp. 249-75. Scroll down to my comment.</w:t>
      </w:r>
    </w:p>
    <w:p w14:paraId="38026E66" w14:textId="18593645" w:rsidR="00241F08" w:rsidRDefault="00241F08" w:rsidP="00020209">
      <w:pPr>
        <w:spacing w:after="60"/>
        <w:rPr>
          <w:rFonts w:asciiTheme="majorHAnsi" w:hAnsiTheme="majorHAnsi"/>
        </w:rPr>
      </w:pPr>
    </w:p>
    <w:p w14:paraId="3183BFD9" w14:textId="40709806" w:rsidR="00116F10" w:rsidRDefault="00116F10" w:rsidP="00020209">
      <w:pPr>
        <w:spacing w:after="60"/>
        <w:rPr>
          <w:rFonts w:asciiTheme="majorHAnsi" w:hAnsiTheme="majorHAnsi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Cite as</w:t>
      </w:r>
      <w:r w:rsidR="008B71F2">
        <w:rPr>
          <w:rFonts w:ascii="Arial" w:eastAsia="Times New Roman" w:hAnsi="Arial" w:cs="Arial"/>
          <w:color w:val="000000"/>
          <w:sz w:val="23"/>
          <w:szCs w:val="23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8653D3">
        <w:rPr>
          <w:rFonts w:ascii="Arial" w:eastAsia="Times New Roman" w:hAnsi="Arial" w:cs="Arial"/>
          <w:color w:val="000000"/>
          <w:sz w:val="23"/>
          <w:szCs w:val="23"/>
        </w:rPr>
        <w:t>Ribot, J. 2014. “Politics of Misrecognition – Framing out Liability under a Changing Sky</w:t>
      </w:r>
      <w:r w:rsidR="008B71F2">
        <w:rPr>
          <w:rFonts w:ascii="Arial" w:eastAsia="Times New Roman" w:hAnsi="Arial" w:cs="Arial"/>
          <w:color w:val="000000"/>
          <w:sz w:val="23"/>
          <w:szCs w:val="23"/>
        </w:rPr>
        <w:t>,</w:t>
      </w:r>
      <w:bookmarkStart w:id="0" w:name="_GoBack"/>
      <w:bookmarkEnd w:id="0"/>
      <w:r w:rsidRPr="008653D3">
        <w:rPr>
          <w:rFonts w:ascii="Arial" w:eastAsia="Times New Roman" w:hAnsi="Arial" w:cs="Arial"/>
          <w:color w:val="000000"/>
          <w:sz w:val="23"/>
          <w:szCs w:val="23"/>
        </w:rPr>
        <w:t xml:space="preserve">” Response to Ben Orlove, Heather Lazrus, Grete K. Hovelsrud, Alessandra Giannini. 2014. “Recognitions and Responsibilities: On the Origins and Consequences of the Uneven Attention to Climate Change around the World” </w:t>
      </w:r>
      <w:r w:rsidRPr="00116F10">
        <w:rPr>
          <w:rFonts w:ascii="Arial" w:eastAsia="Times New Roman" w:hAnsi="Arial" w:cs="Arial"/>
          <w:i/>
          <w:color w:val="000000"/>
          <w:sz w:val="23"/>
          <w:szCs w:val="23"/>
        </w:rPr>
        <w:t>Current Anthropology</w:t>
      </w:r>
      <w:r w:rsidRPr="008653D3">
        <w:rPr>
          <w:rFonts w:ascii="Arial" w:eastAsia="Times New Roman" w:hAnsi="Arial" w:cs="Arial"/>
          <w:color w:val="000000"/>
          <w:sz w:val="23"/>
          <w:szCs w:val="23"/>
        </w:rPr>
        <w:t>, 55(3), pp. 249-75.</w:t>
      </w:r>
    </w:p>
    <w:p w14:paraId="57E22501" w14:textId="77777777" w:rsidR="00116F10" w:rsidRDefault="00116F10" w:rsidP="00020209">
      <w:pPr>
        <w:spacing w:after="60"/>
        <w:rPr>
          <w:rFonts w:asciiTheme="majorHAnsi" w:hAnsiTheme="majorHAnsi"/>
        </w:rPr>
      </w:pPr>
    </w:p>
    <w:p w14:paraId="1441715A" w14:textId="77777777" w:rsidR="00DD7153" w:rsidRDefault="00DD7153" w:rsidP="00DD7153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Pre-copy edit version. For more details see link – to the article this is a comment on and to this piece in its final version. </w:t>
      </w:r>
    </w:p>
    <w:p w14:paraId="7FC71A1B" w14:textId="77777777" w:rsidR="00DD7153" w:rsidRDefault="00DD7153" w:rsidP="00020209">
      <w:pPr>
        <w:spacing w:after="60"/>
        <w:rPr>
          <w:rFonts w:asciiTheme="majorHAnsi" w:hAnsiTheme="majorHAnsi"/>
        </w:rPr>
      </w:pPr>
    </w:p>
    <w:p w14:paraId="749288E6" w14:textId="77777777" w:rsidR="00241F08" w:rsidRDefault="00241F08" w:rsidP="00020209">
      <w:pPr>
        <w:spacing w:after="60"/>
        <w:rPr>
          <w:rFonts w:asciiTheme="majorHAnsi" w:hAnsiTheme="majorHAnsi"/>
        </w:rPr>
      </w:pPr>
    </w:p>
    <w:p w14:paraId="4169FF75" w14:textId="548ED65D" w:rsidR="003B42B9" w:rsidRDefault="00344E61" w:rsidP="00020209">
      <w:pPr>
        <w:spacing w:after="60"/>
        <w:rPr>
          <w:rFonts w:asciiTheme="majorHAnsi" w:hAnsiTheme="majorHAnsi"/>
        </w:rPr>
      </w:pPr>
      <w:r w:rsidRPr="009B1B7E">
        <w:rPr>
          <w:rFonts w:asciiTheme="majorHAnsi" w:hAnsiTheme="majorHAnsi"/>
        </w:rPr>
        <w:t>Jesse Ribot</w:t>
      </w:r>
      <w:r w:rsidR="009849FD">
        <w:rPr>
          <w:rFonts w:asciiTheme="majorHAnsi" w:hAnsiTheme="majorHAnsi"/>
        </w:rPr>
        <w:t xml:space="preserve"> Forthcoming in 2014</w:t>
      </w:r>
    </w:p>
    <w:p w14:paraId="0C753FD2" w14:textId="091E0FAB" w:rsidR="00A9404C" w:rsidRDefault="00A9404C" w:rsidP="00020209">
      <w:pPr>
        <w:spacing w:after="60"/>
        <w:rPr>
          <w:rFonts w:asciiTheme="majorHAnsi" w:hAnsiTheme="majorHAnsi"/>
        </w:rPr>
      </w:pPr>
    </w:p>
    <w:p w14:paraId="6270F794" w14:textId="35DA17F7" w:rsidR="00E24B83" w:rsidRPr="00241F08" w:rsidRDefault="00E24B83" w:rsidP="00E24B83">
      <w:pPr>
        <w:spacing w:after="60"/>
        <w:rPr>
          <w:rFonts w:asciiTheme="majorHAnsi" w:hAnsiTheme="majorHAnsi"/>
          <w:b/>
        </w:rPr>
      </w:pPr>
      <w:r w:rsidRPr="00241F08">
        <w:rPr>
          <w:rFonts w:asciiTheme="majorHAnsi" w:hAnsiTheme="majorHAnsi"/>
          <w:b/>
        </w:rPr>
        <w:t xml:space="preserve">Politics of Misrecognition – </w:t>
      </w:r>
      <w:r w:rsidR="00ED50E9" w:rsidRPr="00241F08">
        <w:rPr>
          <w:rFonts w:asciiTheme="majorHAnsi" w:hAnsiTheme="majorHAnsi"/>
          <w:b/>
        </w:rPr>
        <w:t>Framing out Liability</w:t>
      </w:r>
      <w:r w:rsidR="00F4126D" w:rsidRPr="00241F08">
        <w:rPr>
          <w:rFonts w:asciiTheme="majorHAnsi" w:hAnsiTheme="majorHAnsi"/>
          <w:b/>
        </w:rPr>
        <w:t xml:space="preserve"> under a Changing Sky</w:t>
      </w:r>
    </w:p>
    <w:p w14:paraId="22D6E719" w14:textId="77777777" w:rsidR="00E24B83" w:rsidRDefault="00E24B83" w:rsidP="00E24B83">
      <w:pPr>
        <w:spacing w:after="60"/>
        <w:rPr>
          <w:rFonts w:asciiTheme="majorHAnsi" w:hAnsiTheme="majorHAnsi" w:cs="Times"/>
          <w:sz w:val="20"/>
        </w:rPr>
      </w:pPr>
    </w:p>
    <w:p w14:paraId="6B48DA42" w14:textId="5BEC3B47" w:rsidR="00344E61" w:rsidRPr="009B1B7E" w:rsidRDefault="001D66CB" w:rsidP="00020209">
      <w:pPr>
        <w:spacing w:after="60"/>
        <w:ind w:left="1440"/>
        <w:rPr>
          <w:rFonts w:asciiTheme="majorHAnsi" w:hAnsiTheme="majorHAnsi" w:cs="Times"/>
          <w:sz w:val="20"/>
        </w:rPr>
      </w:pPr>
      <w:r w:rsidRPr="009B1B7E">
        <w:rPr>
          <w:rFonts w:asciiTheme="majorHAnsi" w:hAnsiTheme="majorHAnsi" w:cs="Times"/>
          <w:sz w:val="20"/>
        </w:rPr>
        <w:t>There are districts in which the position of the rural population is that of a man</w:t>
      </w:r>
      <w:r w:rsidR="00DD5DFC">
        <w:rPr>
          <w:rFonts w:asciiTheme="majorHAnsi" w:hAnsiTheme="majorHAnsi" w:cs="Times"/>
          <w:sz w:val="20"/>
        </w:rPr>
        <w:t xml:space="preserve"> [sic.]</w:t>
      </w:r>
      <w:r w:rsidRPr="009B1B7E">
        <w:rPr>
          <w:rFonts w:asciiTheme="majorHAnsi" w:hAnsiTheme="majorHAnsi" w:cs="Times"/>
          <w:sz w:val="20"/>
        </w:rPr>
        <w:t xml:space="preserve"> standing permanently up to his neck in water, so that even a ripp</w:t>
      </w:r>
      <w:r w:rsidR="00344E61" w:rsidRPr="009B1B7E">
        <w:rPr>
          <w:rFonts w:asciiTheme="majorHAnsi" w:hAnsiTheme="majorHAnsi" w:cs="Times"/>
          <w:sz w:val="20"/>
        </w:rPr>
        <w:t>le is sufficient to drown him.</w:t>
      </w:r>
    </w:p>
    <w:p w14:paraId="2E916641" w14:textId="7E7A123B" w:rsidR="001D66CB" w:rsidRPr="009B1B7E" w:rsidRDefault="001D66CB" w:rsidP="00020209">
      <w:pPr>
        <w:spacing w:after="60"/>
        <w:ind w:left="3600" w:firstLine="720"/>
        <w:jc w:val="right"/>
        <w:rPr>
          <w:rFonts w:asciiTheme="majorHAnsi" w:hAnsiTheme="majorHAnsi"/>
          <w:sz w:val="20"/>
        </w:rPr>
      </w:pPr>
      <w:r w:rsidRPr="009B1B7E">
        <w:rPr>
          <w:rFonts w:asciiTheme="majorHAnsi" w:hAnsiTheme="majorHAnsi" w:cs="Times"/>
          <w:sz w:val="20"/>
        </w:rPr>
        <w:t>R.H. Tawney 1966</w:t>
      </w:r>
      <w:r w:rsidR="003B7595">
        <w:rPr>
          <w:rFonts w:asciiTheme="majorHAnsi" w:hAnsiTheme="majorHAnsi" w:cs="Times"/>
          <w:sz w:val="20"/>
        </w:rPr>
        <w:t xml:space="preserve"> </w:t>
      </w:r>
      <w:r w:rsidRPr="009B1B7E">
        <w:rPr>
          <w:rFonts w:asciiTheme="majorHAnsi" w:hAnsiTheme="majorHAnsi" w:cs="Times"/>
          <w:sz w:val="20"/>
        </w:rPr>
        <w:t xml:space="preserve">Quoted by </w:t>
      </w:r>
      <w:r w:rsidR="00B93257" w:rsidRPr="009B1B7E">
        <w:rPr>
          <w:rFonts w:asciiTheme="majorHAnsi" w:hAnsiTheme="majorHAnsi" w:cs="Times"/>
          <w:sz w:val="20"/>
        </w:rPr>
        <w:t>Scott (1976)</w:t>
      </w:r>
    </w:p>
    <w:p w14:paraId="54E21EA4" w14:textId="77777777" w:rsidR="004663FD" w:rsidRDefault="004663FD" w:rsidP="00020209">
      <w:pPr>
        <w:spacing w:after="60"/>
        <w:rPr>
          <w:rFonts w:asciiTheme="majorHAnsi" w:hAnsiTheme="majorHAnsi"/>
        </w:rPr>
      </w:pPr>
    </w:p>
    <w:p w14:paraId="53036C45" w14:textId="0585E390" w:rsidR="001C3201" w:rsidRPr="009B1B7E" w:rsidRDefault="006F43D6" w:rsidP="00020209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brilliance of this article is in its identification and explanation of </w:t>
      </w:r>
      <w:r w:rsidR="003B42B9" w:rsidRPr="009B1B7E">
        <w:rPr>
          <w:rFonts w:asciiTheme="majorHAnsi" w:hAnsiTheme="majorHAnsi"/>
        </w:rPr>
        <w:t xml:space="preserve">skewed global geographic attention to </w:t>
      </w:r>
      <w:r w:rsidR="007E293F">
        <w:rPr>
          <w:rFonts w:asciiTheme="majorHAnsi" w:hAnsiTheme="majorHAnsi"/>
        </w:rPr>
        <w:t xml:space="preserve">climate </w:t>
      </w:r>
      <w:r w:rsidR="003B42B9" w:rsidRPr="009B1B7E">
        <w:rPr>
          <w:rFonts w:asciiTheme="majorHAnsi" w:hAnsiTheme="majorHAnsi"/>
        </w:rPr>
        <w:t xml:space="preserve">risk and </w:t>
      </w:r>
      <w:r w:rsidR="007E293F">
        <w:rPr>
          <w:rFonts w:asciiTheme="majorHAnsi" w:hAnsiTheme="majorHAnsi"/>
        </w:rPr>
        <w:t>social vulnerability</w:t>
      </w:r>
      <w:r w:rsidR="003B42B9" w:rsidRPr="009B1B7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It lays the groundwork for </w:t>
      </w:r>
      <w:r w:rsidR="007E293F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 xml:space="preserve">direly needed recalibration. </w:t>
      </w:r>
      <w:r w:rsidR="003402DF">
        <w:rPr>
          <w:rFonts w:asciiTheme="majorHAnsi" w:hAnsiTheme="majorHAnsi"/>
        </w:rPr>
        <w:t>Through histories of place</w:t>
      </w:r>
      <w:r w:rsidR="003402DF" w:rsidRPr="009B1B7E">
        <w:rPr>
          <w:rFonts w:asciiTheme="majorHAnsi" w:hAnsiTheme="majorHAnsi"/>
        </w:rPr>
        <w:t xml:space="preserve"> </w:t>
      </w:r>
      <w:r w:rsidR="003402DF">
        <w:rPr>
          <w:rFonts w:asciiTheme="majorHAnsi" w:hAnsiTheme="majorHAnsi"/>
        </w:rPr>
        <w:t>t</w:t>
      </w:r>
      <w:r w:rsidR="003B42B9" w:rsidRPr="009B1B7E">
        <w:rPr>
          <w:rFonts w:asciiTheme="majorHAnsi" w:hAnsiTheme="majorHAnsi"/>
        </w:rPr>
        <w:t>he authors</w:t>
      </w:r>
      <w:r>
        <w:rPr>
          <w:rFonts w:asciiTheme="majorHAnsi" w:hAnsiTheme="majorHAnsi"/>
        </w:rPr>
        <w:t xml:space="preserve"> </w:t>
      </w:r>
      <w:r w:rsidR="0075477F" w:rsidRPr="009B1B7E">
        <w:rPr>
          <w:rFonts w:asciiTheme="majorHAnsi" w:hAnsiTheme="majorHAnsi"/>
        </w:rPr>
        <w:t xml:space="preserve">show how visible </w:t>
      </w:r>
      <w:r w:rsidR="00792B0D">
        <w:rPr>
          <w:rFonts w:asciiTheme="majorHAnsi" w:hAnsiTheme="majorHAnsi"/>
        </w:rPr>
        <w:t xml:space="preserve">Arctic and Island climate-change </w:t>
      </w:r>
      <w:r w:rsidR="0075477F" w:rsidRPr="009B1B7E">
        <w:rPr>
          <w:rFonts w:asciiTheme="majorHAnsi" w:hAnsiTheme="majorHAnsi"/>
        </w:rPr>
        <w:t xml:space="preserve">effect are iconized in </w:t>
      </w:r>
      <w:r w:rsidR="00D45CED">
        <w:rPr>
          <w:rFonts w:asciiTheme="majorHAnsi" w:hAnsiTheme="majorHAnsi"/>
        </w:rPr>
        <w:t>iceberg-bound polar bears</w:t>
      </w:r>
      <w:r w:rsidR="007E293F">
        <w:rPr>
          <w:rFonts w:asciiTheme="majorHAnsi" w:hAnsiTheme="majorHAnsi"/>
        </w:rPr>
        <w:t xml:space="preserve"> and</w:t>
      </w:r>
      <w:r w:rsidR="0075477F" w:rsidRPr="009B1B7E">
        <w:rPr>
          <w:rFonts w:asciiTheme="majorHAnsi" w:hAnsiTheme="majorHAnsi"/>
        </w:rPr>
        <w:t xml:space="preserve"> islands swallowed by a rising sea; </w:t>
      </w:r>
      <w:r w:rsidR="007E293F">
        <w:rPr>
          <w:rFonts w:asciiTheme="majorHAnsi" w:hAnsiTheme="majorHAnsi"/>
        </w:rPr>
        <w:t xml:space="preserve">whereas </w:t>
      </w:r>
      <w:r w:rsidR="0075477F" w:rsidRPr="009B1B7E">
        <w:rPr>
          <w:rFonts w:asciiTheme="majorHAnsi" w:hAnsiTheme="majorHAnsi"/>
        </w:rPr>
        <w:t xml:space="preserve">the complex risks faced by mountain and desert peoples </w:t>
      </w:r>
      <w:r w:rsidR="007E293F">
        <w:rPr>
          <w:rFonts w:asciiTheme="majorHAnsi" w:hAnsiTheme="majorHAnsi"/>
        </w:rPr>
        <w:t xml:space="preserve">are </w:t>
      </w:r>
      <w:r w:rsidR="000C4A0E">
        <w:rPr>
          <w:rFonts w:asciiTheme="majorHAnsi" w:hAnsiTheme="majorHAnsi"/>
        </w:rPr>
        <w:t xml:space="preserve">disturbingly </w:t>
      </w:r>
      <w:r w:rsidR="007E293F">
        <w:rPr>
          <w:rFonts w:asciiTheme="majorHAnsi" w:hAnsiTheme="majorHAnsi"/>
        </w:rPr>
        <w:t xml:space="preserve">framed </w:t>
      </w:r>
      <w:r w:rsidR="00792B0D">
        <w:rPr>
          <w:rFonts w:asciiTheme="majorHAnsi" w:hAnsiTheme="majorHAnsi"/>
        </w:rPr>
        <w:t xml:space="preserve">as matters of </w:t>
      </w:r>
      <w:r w:rsidR="0075477F" w:rsidRPr="009B1B7E">
        <w:rPr>
          <w:rFonts w:asciiTheme="majorHAnsi" w:hAnsiTheme="majorHAnsi"/>
          <w:i/>
        </w:rPr>
        <w:t xml:space="preserve">their own </w:t>
      </w:r>
      <w:r w:rsidR="0075477F" w:rsidRPr="009B1B7E">
        <w:rPr>
          <w:rFonts w:asciiTheme="majorHAnsi" w:hAnsiTheme="majorHAnsi"/>
        </w:rPr>
        <w:t xml:space="preserve">sustainability. </w:t>
      </w:r>
      <w:r w:rsidR="001403D4">
        <w:rPr>
          <w:rFonts w:asciiTheme="majorHAnsi" w:hAnsiTheme="majorHAnsi"/>
        </w:rPr>
        <w:t xml:space="preserve">They outline the </w:t>
      </w:r>
      <w:r w:rsidR="0075477F" w:rsidRPr="009B1B7E">
        <w:rPr>
          <w:rFonts w:asciiTheme="majorHAnsi" w:hAnsiTheme="majorHAnsi"/>
        </w:rPr>
        <w:t>political and institutional paths that shape this selective inclusion and occlusion of place</w:t>
      </w:r>
      <w:r w:rsidR="003402DF">
        <w:rPr>
          <w:rFonts w:asciiTheme="majorHAnsi" w:hAnsiTheme="majorHAnsi"/>
        </w:rPr>
        <w:t>,</w:t>
      </w:r>
      <w:r w:rsidR="0075477F" w:rsidRPr="009B1B7E">
        <w:rPr>
          <w:rFonts w:asciiTheme="majorHAnsi" w:hAnsiTheme="majorHAnsi"/>
        </w:rPr>
        <w:t xml:space="preserve"> problem</w:t>
      </w:r>
      <w:r w:rsidR="003402DF">
        <w:rPr>
          <w:rFonts w:asciiTheme="majorHAnsi" w:hAnsiTheme="majorHAnsi"/>
        </w:rPr>
        <w:t xml:space="preserve"> and cause</w:t>
      </w:r>
      <w:r w:rsidR="0075477F" w:rsidRPr="009B1B7E">
        <w:rPr>
          <w:rFonts w:asciiTheme="majorHAnsi" w:hAnsiTheme="majorHAnsi"/>
        </w:rPr>
        <w:t xml:space="preserve">. </w:t>
      </w:r>
    </w:p>
    <w:p w14:paraId="2DB82997" w14:textId="46720636" w:rsidR="001C3201" w:rsidRPr="009B1B7E" w:rsidRDefault="0057521A" w:rsidP="00020209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1C3201" w:rsidRPr="009B1B7E">
        <w:rPr>
          <w:rFonts w:asciiTheme="majorHAnsi" w:hAnsiTheme="majorHAnsi"/>
        </w:rPr>
        <w:t>ulnerability is al</w:t>
      </w:r>
      <w:r w:rsidR="0066767C">
        <w:rPr>
          <w:rFonts w:asciiTheme="majorHAnsi" w:hAnsiTheme="majorHAnsi"/>
        </w:rPr>
        <w:t>ways rooted in social relations</w:t>
      </w:r>
      <w:r>
        <w:rPr>
          <w:rFonts w:asciiTheme="majorHAnsi" w:hAnsiTheme="majorHAnsi"/>
        </w:rPr>
        <w:t>. Yet t</w:t>
      </w:r>
      <w:r w:rsidR="0066767C">
        <w:rPr>
          <w:rFonts w:asciiTheme="majorHAnsi" w:hAnsiTheme="majorHAnsi"/>
        </w:rPr>
        <w:t>he social framing as sustainable development turns responsibility</w:t>
      </w:r>
      <w:r w:rsidR="001C3201" w:rsidRPr="009B1B7E">
        <w:rPr>
          <w:rFonts w:asciiTheme="majorHAnsi" w:hAnsiTheme="majorHAnsi"/>
        </w:rPr>
        <w:t xml:space="preserve"> back on the victims</w:t>
      </w:r>
      <w:r w:rsidR="0066767C">
        <w:rPr>
          <w:rFonts w:asciiTheme="majorHAnsi" w:hAnsiTheme="majorHAnsi"/>
        </w:rPr>
        <w:t xml:space="preserve">. </w:t>
      </w:r>
      <w:r w:rsidR="00974845">
        <w:rPr>
          <w:rFonts w:asciiTheme="majorHAnsi" w:hAnsiTheme="majorHAnsi"/>
        </w:rPr>
        <w:t>This</w:t>
      </w:r>
      <w:r>
        <w:rPr>
          <w:rFonts w:asciiTheme="majorHAnsi" w:hAnsiTheme="majorHAnsi"/>
        </w:rPr>
        <w:t xml:space="preserve"> framing </w:t>
      </w:r>
      <w:r w:rsidR="0066767C">
        <w:rPr>
          <w:rFonts w:asciiTheme="majorHAnsi" w:hAnsiTheme="majorHAnsi"/>
        </w:rPr>
        <w:t xml:space="preserve">gives </w:t>
      </w:r>
      <w:r w:rsidR="001C3201" w:rsidRPr="009B1B7E">
        <w:rPr>
          <w:rFonts w:asciiTheme="majorHAnsi" w:hAnsiTheme="majorHAnsi"/>
        </w:rPr>
        <w:t xml:space="preserve">climate </w:t>
      </w:r>
      <w:r>
        <w:rPr>
          <w:rFonts w:asciiTheme="majorHAnsi" w:hAnsiTheme="majorHAnsi"/>
        </w:rPr>
        <w:t xml:space="preserve">change </w:t>
      </w:r>
      <w:r w:rsidR="001C3201" w:rsidRPr="009B1B7E">
        <w:rPr>
          <w:rFonts w:asciiTheme="majorHAnsi" w:hAnsiTheme="majorHAnsi"/>
        </w:rPr>
        <w:t>a clean slate</w:t>
      </w:r>
      <w:r>
        <w:rPr>
          <w:rFonts w:asciiTheme="majorHAnsi" w:hAnsiTheme="majorHAnsi"/>
        </w:rPr>
        <w:t>,</w:t>
      </w:r>
      <w:r w:rsidR="0066767C">
        <w:rPr>
          <w:rFonts w:asciiTheme="majorHAnsi" w:hAnsiTheme="majorHAnsi"/>
        </w:rPr>
        <w:t xml:space="preserve"> limiting</w:t>
      </w:r>
      <w:r w:rsidR="0004013C" w:rsidRPr="009B1B7E">
        <w:rPr>
          <w:rFonts w:asciiTheme="majorHAnsi" w:hAnsiTheme="majorHAnsi"/>
        </w:rPr>
        <w:t xml:space="preserve"> </w:t>
      </w:r>
      <w:r w:rsidR="000C4A0E">
        <w:rPr>
          <w:rFonts w:asciiTheme="majorHAnsi" w:hAnsiTheme="majorHAnsi"/>
        </w:rPr>
        <w:t>responsibil</w:t>
      </w:r>
      <w:r w:rsidR="00541B55">
        <w:rPr>
          <w:rFonts w:asciiTheme="majorHAnsi" w:hAnsiTheme="majorHAnsi"/>
        </w:rPr>
        <w:t xml:space="preserve">ity for redress. </w:t>
      </w:r>
      <w:r>
        <w:rPr>
          <w:rFonts w:asciiTheme="majorHAnsi" w:hAnsiTheme="majorHAnsi"/>
        </w:rPr>
        <w:t>For example,</w:t>
      </w:r>
      <w:r w:rsidR="0066767C">
        <w:rPr>
          <w:rFonts w:asciiTheme="majorHAnsi" w:hAnsiTheme="majorHAnsi"/>
        </w:rPr>
        <w:t xml:space="preserve"> 90 percent of </w:t>
      </w:r>
      <w:r>
        <w:rPr>
          <w:rFonts w:asciiTheme="majorHAnsi" w:hAnsiTheme="majorHAnsi"/>
        </w:rPr>
        <w:t>the world’s drylands</w:t>
      </w:r>
      <w:r w:rsidR="0066767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fall</w:t>
      </w:r>
      <w:r w:rsidR="0066767C">
        <w:rPr>
          <w:rFonts w:asciiTheme="majorHAnsi" w:hAnsiTheme="majorHAnsi"/>
        </w:rPr>
        <w:t xml:space="preserve"> in </w:t>
      </w:r>
      <w:r>
        <w:rPr>
          <w:rFonts w:asciiTheme="majorHAnsi" w:hAnsiTheme="majorHAnsi"/>
        </w:rPr>
        <w:t>developing countries</w:t>
      </w:r>
      <w:r w:rsidR="0066767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they </w:t>
      </w:r>
      <w:r w:rsidR="0066767C">
        <w:rPr>
          <w:rFonts w:asciiTheme="majorHAnsi" w:hAnsiTheme="majorHAnsi"/>
        </w:rPr>
        <w:t>cover over 40</w:t>
      </w:r>
      <w:r w:rsidR="001C3201" w:rsidRPr="009B1B7E">
        <w:rPr>
          <w:rFonts w:asciiTheme="majorHAnsi" w:hAnsiTheme="majorHAnsi"/>
        </w:rPr>
        <w:t xml:space="preserve"> percent of the earth’s surface</w:t>
      </w:r>
      <w:r w:rsidR="0066767C">
        <w:rPr>
          <w:rFonts w:asciiTheme="majorHAnsi" w:hAnsiTheme="majorHAnsi"/>
        </w:rPr>
        <w:t>, house</w:t>
      </w:r>
      <w:r w:rsidR="001C3201" w:rsidRPr="009B1B7E">
        <w:rPr>
          <w:rFonts w:asciiTheme="majorHAnsi" w:hAnsiTheme="majorHAnsi"/>
        </w:rPr>
        <w:t xml:space="preserve"> </w:t>
      </w:r>
      <w:r w:rsidR="004D4CE2">
        <w:rPr>
          <w:rFonts w:asciiTheme="majorHAnsi" w:hAnsiTheme="majorHAnsi"/>
        </w:rPr>
        <w:t>34</w:t>
      </w:r>
      <w:r w:rsidR="001C3201" w:rsidRPr="009B1B7E">
        <w:rPr>
          <w:rFonts w:asciiTheme="majorHAnsi" w:hAnsiTheme="majorHAnsi"/>
        </w:rPr>
        <w:t xml:space="preserve"> percent of the world’s population</w:t>
      </w:r>
      <w:r>
        <w:rPr>
          <w:rFonts w:asciiTheme="majorHAnsi" w:hAnsiTheme="majorHAnsi"/>
        </w:rPr>
        <w:t>,</w:t>
      </w:r>
      <w:r w:rsidR="001C3201" w:rsidRPr="009B1B7E">
        <w:rPr>
          <w:rFonts w:asciiTheme="majorHAnsi" w:hAnsiTheme="majorHAnsi"/>
        </w:rPr>
        <w:t xml:space="preserve"> and </w:t>
      </w:r>
      <w:r w:rsidR="0066767C">
        <w:rPr>
          <w:rFonts w:asciiTheme="majorHAnsi" w:hAnsiTheme="majorHAnsi"/>
        </w:rPr>
        <w:t xml:space="preserve">are home to </w:t>
      </w:r>
      <w:r w:rsidR="004D4CE2">
        <w:rPr>
          <w:rFonts w:asciiTheme="majorHAnsi" w:hAnsiTheme="majorHAnsi"/>
        </w:rPr>
        <w:t>almost half of the world’s poor (UNCCD 2011:6,14</w:t>
      </w:r>
      <w:r w:rsidR="000C4A0E">
        <w:rPr>
          <w:rFonts w:asciiTheme="majorHAnsi" w:hAnsiTheme="majorHAnsi"/>
        </w:rPr>
        <w:t>). Drylands</w:t>
      </w:r>
      <w:r w:rsidR="0066767C">
        <w:rPr>
          <w:rFonts w:asciiTheme="majorHAnsi" w:hAnsiTheme="majorHAnsi"/>
        </w:rPr>
        <w:t>’</w:t>
      </w:r>
      <w:r w:rsidR="000C4A0E">
        <w:rPr>
          <w:rFonts w:asciiTheme="majorHAnsi" w:hAnsiTheme="majorHAnsi"/>
        </w:rPr>
        <w:t xml:space="preserve"> poor</w:t>
      </w:r>
      <w:r w:rsidR="001C3201" w:rsidRPr="009B1B7E">
        <w:rPr>
          <w:rFonts w:asciiTheme="majorHAnsi" w:hAnsiTheme="majorHAnsi"/>
        </w:rPr>
        <w:t xml:space="preserve"> are </w:t>
      </w:r>
      <w:r w:rsidR="000C4A0E">
        <w:rPr>
          <w:rFonts w:asciiTheme="majorHAnsi" w:hAnsiTheme="majorHAnsi"/>
        </w:rPr>
        <w:t xml:space="preserve">already deeply </w:t>
      </w:r>
      <w:r w:rsidR="001C3201" w:rsidRPr="009B1B7E">
        <w:rPr>
          <w:rFonts w:asciiTheme="majorHAnsi" w:hAnsiTheme="majorHAnsi"/>
        </w:rPr>
        <w:t xml:space="preserve">vulnerable in the face of ordinary climate variability </w:t>
      </w:r>
      <w:r w:rsidR="001C3201" w:rsidRPr="009B1B7E">
        <w:rPr>
          <w:rFonts w:asciiTheme="majorHAnsi" w:hAnsiTheme="majorHAnsi"/>
          <w:i/>
        </w:rPr>
        <w:t>and</w:t>
      </w:r>
      <w:r w:rsidR="001C3201" w:rsidRPr="009B1B7E">
        <w:rPr>
          <w:rFonts w:asciiTheme="majorHAnsi" w:hAnsiTheme="majorHAnsi"/>
        </w:rPr>
        <w:t xml:space="preserve"> change. But</w:t>
      </w:r>
      <w:r w:rsidR="00541B55">
        <w:rPr>
          <w:rFonts w:asciiTheme="majorHAnsi" w:hAnsiTheme="majorHAnsi"/>
        </w:rPr>
        <w:t xml:space="preserve"> </w:t>
      </w:r>
      <w:r w:rsidR="001C3201" w:rsidRPr="009B1B7E">
        <w:rPr>
          <w:rFonts w:asciiTheme="majorHAnsi" w:hAnsiTheme="majorHAnsi"/>
        </w:rPr>
        <w:t>by calling their problems social</w:t>
      </w:r>
      <w:r w:rsidR="0066767C">
        <w:rPr>
          <w:rFonts w:asciiTheme="majorHAnsi" w:hAnsiTheme="majorHAnsi"/>
        </w:rPr>
        <w:t xml:space="preserve"> – </w:t>
      </w:r>
      <w:r w:rsidR="000C4A0E">
        <w:rPr>
          <w:rFonts w:asciiTheme="majorHAnsi" w:hAnsiTheme="majorHAnsi"/>
        </w:rPr>
        <w:t>a ma</w:t>
      </w:r>
      <w:r w:rsidR="0066767C">
        <w:rPr>
          <w:rFonts w:asciiTheme="majorHAnsi" w:hAnsiTheme="majorHAnsi"/>
        </w:rPr>
        <w:t>tter of sustainable development – risk</w:t>
      </w:r>
      <w:r w:rsidR="0004013C" w:rsidRPr="009B1B7E">
        <w:rPr>
          <w:rFonts w:asciiTheme="majorHAnsi" w:hAnsiTheme="majorHAnsi"/>
        </w:rPr>
        <w:t xml:space="preserve"> is</w:t>
      </w:r>
      <w:r w:rsidR="001C3201" w:rsidRPr="009B1B7E">
        <w:rPr>
          <w:rFonts w:asciiTheme="majorHAnsi" w:hAnsiTheme="majorHAnsi"/>
        </w:rPr>
        <w:t xml:space="preserve"> naturalized as a pre-existing condition</w:t>
      </w:r>
      <w:r w:rsidR="0004013C" w:rsidRPr="009B1B7E">
        <w:rPr>
          <w:rFonts w:asciiTheme="majorHAnsi" w:hAnsiTheme="majorHAnsi"/>
        </w:rPr>
        <w:t>.</w:t>
      </w:r>
      <w:r w:rsidR="001C3201" w:rsidRPr="009B1B7E">
        <w:rPr>
          <w:rFonts w:asciiTheme="majorHAnsi" w:hAnsiTheme="majorHAnsi"/>
        </w:rPr>
        <w:t xml:space="preserve"> </w:t>
      </w:r>
      <w:r w:rsidR="00F134C5" w:rsidRPr="009B1B7E">
        <w:rPr>
          <w:rFonts w:asciiTheme="majorHAnsi" w:hAnsiTheme="majorHAnsi"/>
        </w:rPr>
        <w:t xml:space="preserve">With this </w:t>
      </w:r>
      <w:r w:rsidR="001C3201" w:rsidRPr="009B1B7E">
        <w:rPr>
          <w:rFonts w:asciiTheme="majorHAnsi" w:hAnsiTheme="majorHAnsi"/>
        </w:rPr>
        <w:t>sl</w:t>
      </w:r>
      <w:r w:rsidR="00F134C5" w:rsidRPr="009B1B7E">
        <w:rPr>
          <w:rFonts w:asciiTheme="majorHAnsi" w:hAnsiTheme="majorHAnsi"/>
        </w:rPr>
        <w:t>ight of framing</w:t>
      </w:r>
      <w:r w:rsidR="001C3201" w:rsidRPr="009B1B7E">
        <w:rPr>
          <w:rFonts w:asciiTheme="majorHAnsi" w:hAnsiTheme="majorHAnsi"/>
        </w:rPr>
        <w:t xml:space="preserve">, the emitting nations absolve themselves of responsibility for redress for the </w:t>
      </w:r>
      <w:r w:rsidR="001C3201" w:rsidRPr="009B1B7E">
        <w:rPr>
          <w:rFonts w:asciiTheme="majorHAnsi" w:hAnsiTheme="majorHAnsi"/>
        </w:rPr>
        <w:lastRenderedPageBreak/>
        <w:t>vast majority o</w:t>
      </w:r>
      <w:r w:rsidR="00541B55">
        <w:rPr>
          <w:rFonts w:asciiTheme="majorHAnsi" w:hAnsiTheme="majorHAnsi"/>
        </w:rPr>
        <w:t>f the earth’s vulnerable</w:t>
      </w:r>
      <w:r w:rsidR="001C3201" w:rsidRPr="009B1B7E">
        <w:rPr>
          <w:rFonts w:asciiTheme="majorHAnsi" w:hAnsiTheme="majorHAnsi"/>
        </w:rPr>
        <w:t xml:space="preserve">. </w:t>
      </w:r>
      <w:r w:rsidR="00F134C5" w:rsidRPr="009B1B7E">
        <w:rPr>
          <w:rFonts w:asciiTheme="majorHAnsi" w:hAnsiTheme="majorHAnsi"/>
        </w:rPr>
        <w:t xml:space="preserve">Is this </w:t>
      </w:r>
      <w:r w:rsidR="001C3201" w:rsidRPr="009B1B7E">
        <w:rPr>
          <w:rFonts w:asciiTheme="majorHAnsi" w:hAnsiTheme="majorHAnsi"/>
        </w:rPr>
        <w:t>an accident of institutional hi</w:t>
      </w:r>
      <w:r w:rsidR="00F134C5" w:rsidRPr="009B1B7E">
        <w:rPr>
          <w:rFonts w:asciiTheme="majorHAnsi" w:hAnsiTheme="majorHAnsi"/>
        </w:rPr>
        <w:t>stories or the slight of images?</w:t>
      </w:r>
      <w:r w:rsidR="001C3201" w:rsidRPr="009B1B7E">
        <w:rPr>
          <w:rFonts w:asciiTheme="majorHAnsi" w:hAnsiTheme="majorHAnsi"/>
        </w:rPr>
        <w:t xml:space="preserve"> </w:t>
      </w:r>
      <w:r w:rsidR="00974845">
        <w:rPr>
          <w:rFonts w:asciiTheme="majorHAnsi" w:hAnsiTheme="majorHAnsi"/>
        </w:rPr>
        <w:t>Is it</w:t>
      </w:r>
      <w:r w:rsidR="00F134C5" w:rsidRPr="009B1B7E">
        <w:rPr>
          <w:rFonts w:asciiTheme="majorHAnsi" w:hAnsiTheme="majorHAnsi"/>
        </w:rPr>
        <w:t xml:space="preserve"> </w:t>
      </w:r>
      <w:r w:rsidR="001C3201" w:rsidRPr="009B1B7E">
        <w:rPr>
          <w:rFonts w:asciiTheme="majorHAnsi" w:hAnsiTheme="majorHAnsi"/>
        </w:rPr>
        <w:t xml:space="preserve">part of a </w:t>
      </w:r>
      <w:r w:rsidR="00F134C5" w:rsidRPr="009B1B7E">
        <w:rPr>
          <w:rFonts w:asciiTheme="majorHAnsi" w:hAnsiTheme="majorHAnsi"/>
        </w:rPr>
        <w:t xml:space="preserve">well-crafted </w:t>
      </w:r>
      <w:r w:rsidR="001C3201" w:rsidRPr="009B1B7E">
        <w:rPr>
          <w:rFonts w:asciiTheme="majorHAnsi" w:hAnsiTheme="majorHAnsi"/>
        </w:rPr>
        <w:t>pol</w:t>
      </w:r>
      <w:r w:rsidR="00F134C5" w:rsidRPr="009B1B7E">
        <w:rPr>
          <w:rFonts w:asciiTheme="majorHAnsi" w:hAnsiTheme="majorHAnsi"/>
        </w:rPr>
        <w:t>itics of selective attention?</w:t>
      </w:r>
      <w:r w:rsidR="00974845">
        <w:rPr>
          <w:rFonts w:asciiTheme="majorHAnsi" w:hAnsiTheme="majorHAnsi"/>
        </w:rPr>
        <w:t xml:space="preserve"> </w:t>
      </w:r>
    </w:p>
    <w:p w14:paraId="7170B9DB" w14:textId="02D539E9" w:rsidR="0004013C" w:rsidRPr="009B1B7E" w:rsidRDefault="003F2618" w:rsidP="00020209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The</w:t>
      </w:r>
      <w:r w:rsidR="00F134C5" w:rsidRPr="009B1B7E">
        <w:rPr>
          <w:rFonts w:asciiTheme="majorHAnsi" w:hAnsiTheme="majorHAnsi" w:cs="Calibri"/>
        </w:rPr>
        <w:t xml:space="preserve"> </w:t>
      </w:r>
      <w:r w:rsidR="00264CF5" w:rsidRPr="009B1B7E">
        <w:rPr>
          <w:rFonts w:asciiTheme="majorHAnsi" w:hAnsiTheme="majorHAnsi" w:cs="Palatino"/>
        </w:rPr>
        <w:t>UN Framework Convention on Climate Change (</w:t>
      </w:r>
      <w:r w:rsidR="001C3201" w:rsidRPr="009B1B7E">
        <w:rPr>
          <w:rFonts w:asciiTheme="majorHAnsi" w:hAnsiTheme="majorHAnsi" w:cs="Calibri"/>
        </w:rPr>
        <w:t>UNFCCC</w:t>
      </w:r>
      <w:r w:rsidR="00264CF5" w:rsidRPr="009B1B7E">
        <w:rPr>
          <w:rFonts w:asciiTheme="majorHAnsi" w:hAnsiTheme="majorHAnsi" w:cs="Calibri"/>
        </w:rPr>
        <w:t>)</w:t>
      </w:r>
      <w:r w:rsidR="001C3201" w:rsidRPr="009B1B7E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 xml:space="preserve">has set up an </w:t>
      </w:r>
      <w:r w:rsidR="001C3201" w:rsidRPr="009B1B7E">
        <w:rPr>
          <w:rFonts w:asciiTheme="majorHAnsi" w:hAnsiTheme="majorHAnsi" w:cs="Calibri"/>
        </w:rPr>
        <w:t>adaptation fund</w:t>
      </w:r>
      <w:r w:rsidR="00974845">
        <w:rPr>
          <w:rFonts w:asciiTheme="majorHAnsi" w:hAnsiTheme="majorHAnsi" w:cs="Calibri"/>
        </w:rPr>
        <w:t xml:space="preserve"> that further </w:t>
      </w:r>
      <w:r>
        <w:rPr>
          <w:rFonts w:asciiTheme="majorHAnsi" w:hAnsiTheme="majorHAnsi" w:cs="Calibri"/>
        </w:rPr>
        <w:t xml:space="preserve">formalizes </w:t>
      </w:r>
      <w:r w:rsidR="00A231CF">
        <w:rPr>
          <w:rFonts w:asciiTheme="majorHAnsi" w:hAnsiTheme="majorHAnsi" w:cs="Calibri"/>
        </w:rPr>
        <w:t>the exclusion of the vulnerable – those with pre-existing conditions need not apply</w:t>
      </w:r>
      <w:r>
        <w:rPr>
          <w:rFonts w:asciiTheme="majorHAnsi" w:hAnsiTheme="majorHAnsi" w:cs="Calibri"/>
        </w:rPr>
        <w:t>.</w:t>
      </w:r>
      <w:r w:rsidR="001C3201" w:rsidRPr="009B1B7E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 xml:space="preserve">Adaptation funds </w:t>
      </w:r>
      <w:r w:rsidR="00666AB3">
        <w:rPr>
          <w:rFonts w:asciiTheme="majorHAnsi" w:hAnsiTheme="majorHAnsi" w:cs="Calibri"/>
        </w:rPr>
        <w:t xml:space="preserve">from emitting nations </w:t>
      </w:r>
      <w:r w:rsidR="001C3201" w:rsidRPr="009B1B7E">
        <w:rPr>
          <w:rFonts w:asciiTheme="majorHAnsi" w:hAnsiTheme="majorHAnsi" w:cs="Calibri"/>
        </w:rPr>
        <w:t xml:space="preserve">are earmarked to redress only the damages of the </w:t>
      </w:r>
      <w:r w:rsidR="001C3201" w:rsidRPr="009B1B7E">
        <w:rPr>
          <w:rFonts w:asciiTheme="majorHAnsi" w:hAnsiTheme="majorHAnsi" w:cs="Calibri"/>
          <w:i/>
        </w:rPr>
        <w:t>additional stress</w:t>
      </w:r>
      <w:r w:rsidR="001C3201" w:rsidRPr="009B1B7E">
        <w:rPr>
          <w:rFonts w:asciiTheme="majorHAnsi" w:hAnsiTheme="majorHAnsi" w:cs="Calibri"/>
        </w:rPr>
        <w:t xml:space="preserve"> that climate change might cause</w:t>
      </w:r>
      <w:r w:rsidR="00666AB3">
        <w:rPr>
          <w:rFonts w:asciiTheme="majorHAnsi" w:hAnsiTheme="majorHAnsi" w:cs="Calibri"/>
        </w:rPr>
        <w:t xml:space="preserve">. </w:t>
      </w:r>
      <w:r w:rsidR="001C3201" w:rsidRPr="009B1B7E">
        <w:rPr>
          <w:rFonts w:asciiTheme="majorHAnsi" w:hAnsiTheme="majorHAnsi" w:cs="Calibri"/>
        </w:rPr>
        <w:t>This additionality stance implicitly acknowledges that climate change is anthropogenic and that the responsible parties should fund adaptation</w:t>
      </w:r>
      <w:r w:rsidR="00264CF5" w:rsidRPr="009B1B7E">
        <w:rPr>
          <w:rFonts w:asciiTheme="majorHAnsi" w:hAnsiTheme="majorHAnsi" w:cs="Calibri"/>
        </w:rPr>
        <w:t xml:space="preserve"> </w:t>
      </w:r>
      <w:r w:rsidR="00264CF5" w:rsidRPr="009B1B7E">
        <w:rPr>
          <w:rFonts w:asciiTheme="majorHAnsi" w:hAnsiTheme="majorHAnsi" w:cs="Times"/>
        </w:rPr>
        <w:t>(Khan and Roberts 2013:182).</w:t>
      </w:r>
      <w:r w:rsidR="001C3201" w:rsidRPr="009B1B7E">
        <w:rPr>
          <w:rFonts w:asciiTheme="majorHAnsi" w:hAnsiTheme="majorHAnsi" w:cs="Calibri"/>
        </w:rPr>
        <w:t xml:space="preserve"> But additionality also implies </w:t>
      </w:r>
      <w:r w:rsidR="00264CF5" w:rsidRPr="009B1B7E">
        <w:rPr>
          <w:rFonts w:asciiTheme="majorHAnsi" w:hAnsiTheme="majorHAnsi" w:cs="Calibri"/>
        </w:rPr>
        <w:t>a turn</w:t>
      </w:r>
      <w:r w:rsidR="001C3201" w:rsidRPr="009B1B7E">
        <w:rPr>
          <w:rFonts w:asciiTheme="majorHAnsi" w:hAnsiTheme="majorHAnsi" w:cs="Calibri"/>
        </w:rPr>
        <w:t xml:space="preserve"> away from responsibility for the preexisting precarity of those at risk – most of whom were vulnerable in the face of climate stress well before climate change </w:t>
      </w:r>
      <w:r w:rsidR="00264CF5" w:rsidRPr="009B1B7E">
        <w:rPr>
          <w:rFonts w:asciiTheme="majorHAnsi" w:hAnsiTheme="majorHAnsi" w:cs="Calibri"/>
        </w:rPr>
        <w:t>met</w:t>
      </w:r>
      <w:r w:rsidR="001C3201" w:rsidRPr="009B1B7E">
        <w:rPr>
          <w:rFonts w:asciiTheme="majorHAnsi" w:hAnsiTheme="majorHAnsi" w:cs="Calibri"/>
        </w:rPr>
        <w:t xml:space="preserve"> the horizon. </w:t>
      </w:r>
      <w:r w:rsidR="00264CF5" w:rsidRPr="009B1B7E">
        <w:rPr>
          <w:rFonts w:asciiTheme="majorHAnsi" w:hAnsiTheme="majorHAnsi" w:cs="Calibri"/>
        </w:rPr>
        <w:t>UNFCC is</w:t>
      </w:r>
      <w:r w:rsidR="001C3201" w:rsidRPr="009B1B7E">
        <w:rPr>
          <w:rFonts w:asciiTheme="majorHAnsi" w:hAnsiTheme="majorHAnsi" w:cs="Calibri"/>
        </w:rPr>
        <w:t xml:space="preserve"> laying down a cut-off for vulnerability redress. </w:t>
      </w:r>
      <w:r w:rsidR="00264CF5" w:rsidRPr="009B1B7E">
        <w:rPr>
          <w:rFonts w:asciiTheme="majorHAnsi" w:hAnsiTheme="majorHAnsi" w:cs="Calibri"/>
        </w:rPr>
        <w:t xml:space="preserve">The convention </w:t>
      </w:r>
      <w:r w:rsidR="001C3201" w:rsidRPr="009B1B7E">
        <w:rPr>
          <w:rFonts w:asciiTheme="majorHAnsi" w:hAnsiTheme="majorHAnsi" w:cs="Calibri"/>
        </w:rPr>
        <w:t xml:space="preserve">only </w:t>
      </w:r>
      <w:r w:rsidR="00264CF5" w:rsidRPr="009B1B7E">
        <w:rPr>
          <w:rFonts w:asciiTheme="majorHAnsi" w:hAnsiTheme="majorHAnsi" w:cs="Calibri"/>
        </w:rPr>
        <w:t>acknowledges</w:t>
      </w:r>
      <w:r w:rsidR="001C3201" w:rsidRPr="009B1B7E">
        <w:rPr>
          <w:rFonts w:asciiTheme="majorHAnsi" w:hAnsiTheme="majorHAnsi" w:cs="Calibri"/>
        </w:rPr>
        <w:t xml:space="preserve"> the increment of sufferin</w:t>
      </w:r>
      <w:r w:rsidR="00264CF5" w:rsidRPr="009B1B7E">
        <w:rPr>
          <w:rFonts w:asciiTheme="majorHAnsi" w:hAnsiTheme="majorHAnsi" w:cs="Calibri"/>
        </w:rPr>
        <w:t xml:space="preserve">g associated with added stress – pre-existing precarity, the </w:t>
      </w:r>
      <w:r w:rsidR="0076191E">
        <w:rPr>
          <w:rFonts w:asciiTheme="majorHAnsi" w:hAnsiTheme="majorHAnsi" w:cs="Calibri"/>
        </w:rPr>
        <w:t xml:space="preserve">very </w:t>
      </w:r>
      <w:r w:rsidR="00264CF5" w:rsidRPr="009B1B7E">
        <w:rPr>
          <w:rFonts w:asciiTheme="majorHAnsi" w:hAnsiTheme="majorHAnsi" w:cs="Calibri"/>
        </w:rPr>
        <w:t xml:space="preserve">condition that turns </w:t>
      </w:r>
      <w:r w:rsidR="001438A0">
        <w:rPr>
          <w:rFonts w:asciiTheme="majorHAnsi" w:hAnsiTheme="majorHAnsi" w:cs="Calibri"/>
        </w:rPr>
        <w:t xml:space="preserve">any </w:t>
      </w:r>
      <w:r w:rsidR="00264CF5" w:rsidRPr="009B1B7E">
        <w:rPr>
          <w:rFonts w:asciiTheme="majorHAnsi" w:hAnsiTheme="majorHAnsi" w:cs="Calibri"/>
        </w:rPr>
        <w:t>climate stress into disaster, is framed out</w:t>
      </w:r>
      <w:r w:rsidR="001C3201" w:rsidRPr="009B1B7E">
        <w:rPr>
          <w:rFonts w:asciiTheme="majorHAnsi" w:hAnsiTheme="majorHAnsi" w:cs="Calibri"/>
        </w:rPr>
        <w:t xml:space="preserve">. </w:t>
      </w:r>
    </w:p>
    <w:p w14:paraId="54F19AD7" w14:textId="084C1C8E" w:rsidR="00534220" w:rsidRPr="009B1B7E" w:rsidRDefault="001C3201" w:rsidP="00020209">
      <w:pPr>
        <w:spacing w:after="60"/>
        <w:rPr>
          <w:rFonts w:asciiTheme="majorHAnsi" w:hAnsiTheme="majorHAnsi" w:cs="Calibri"/>
        </w:rPr>
      </w:pPr>
      <w:r w:rsidRPr="009B1B7E">
        <w:rPr>
          <w:rFonts w:asciiTheme="majorHAnsi" w:hAnsiTheme="majorHAnsi" w:cs="Calibri"/>
        </w:rPr>
        <w:t xml:space="preserve">The targeting of adaptation funds toward the anthropogenic increment accepts that nature has been cultured, but, paradoxically, requires that the </w:t>
      </w:r>
      <w:r w:rsidR="0076191E">
        <w:rPr>
          <w:rFonts w:asciiTheme="majorHAnsi" w:hAnsiTheme="majorHAnsi" w:cs="Calibri"/>
        </w:rPr>
        <w:t>chronic</w:t>
      </w:r>
      <w:r w:rsidRPr="009B1B7E">
        <w:rPr>
          <w:rFonts w:asciiTheme="majorHAnsi" w:hAnsiTheme="majorHAnsi" w:cs="Calibri"/>
        </w:rPr>
        <w:t xml:space="preserve"> misery of </w:t>
      </w:r>
      <w:r w:rsidR="003B7595">
        <w:rPr>
          <w:rFonts w:asciiTheme="majorHAnsi" w:hAnsiTheme="majorHAnsi" w:cs="Calibri"/>
        </w:rPr>
        <w:t>precarity be naturalized – as background</w:t>
      </w:r>
      <w:r w:rsidRPr="009B1B7E">
        <w:rPr>
          <w:rFonts w:asciiTheme="majorHAnsi" w:hAnsiTheme="majorHAnsi" w:cs="Calibri"/>
        </w:rPr>
        <w:t xml:space="preserve">. </w:t>
      </w:r>
      <w:r w:rsidR="0004013C" w:rsidRPr="009B1B7E">
        <w:rPr>
          <w:rFonts w:asciiTheme="majorHAnsi" w:hAnsiTheme="majorHAnsi" w:cs="Calibri"/>
        </w:rPr>
        <w:t>The setting of this increment and the cordoning off of liability for vulnerability is a carefully debated absolution. It is not an accident that vulnerability – which is</w:t>
      </w:r>
      <w:r w:rsidR="00A231CF">
        <w:rPr>
          <w:rFonts w:asciiTheme="majorHAnsi" w:hAnsiTheme="majorHAnsi" w:cs="Calibri"/>
        </w:rPr>
        <w:t xml:space="preserve"> socially</w:t>
      </w:r>
      <w:r w:rsidR="0004013C" w:rsidRPr="009B1B7E">
        <w:rPr>
          <w:rFonts w:asciiTheme="majorHAnsi" w:hAnsiTheme="majorHAnsi" w:cs="Calibri"/>
        </w:rPr>
        <w:t xml:space="preserve"> </w:t>
      </w:r>
      <w:r w:rsidR="00271567">
        <w:rPr>
          <w:rFonts w:asciiTheme="majorHAnsi" w:hAnsiTheme="majorHAnsi" w:cs="Calibri"/>
        </w:rPr>
        <w:t xml:space="preserve">produced within a </w:t>
      </w:r>
      <w:r w:rsidR="00A231CF">
        <w:rPr>
          <w:rFonts w:asciiTheme="majorHAnsi" w:hAnsiTheme="majorHAnsi" w:cs="Calibri"/>
        </w:rPr>
        <w:t xml:space="preserve">larger </w:t>
      </w:r>
      <w:r w:rsidR="00271567">
        <w:rPr>
          <w:rFonts w:asciiTheme="majorHAnsi" w:hAnsiTheme="majorHAnsi" w:cs="Calibri"/>
        </w:rPr>
        <w:t xml:space="preserve">set of </w:t>
      </w:r>
      <w:r w:rsidR="00A231CF">
        <w:rPr>
          <w:rFonts w:asciiTheme="majorHAnsi" w:hAnsiTheme="majorHAnsi" w:cs="Calibri"/>
        </w:rPr>
        <w:t xml:space="preserve">national and </w:t>
      </w:r>
      <w:r w:rsidR="0004013C" w:rsidRPr="009B1B7E">
        <w:rPr>
          <w:rFonts w:asciiTheme="majorHAnsi" w:hAnsiTheme="majorHAnsi" w:cs="Calibri"/>
        </w:rPr>
        <w:t>global forces (</w:t>
      </w:r>
      <w:r w:rsidR="0004013C" w:rsidRPr="004D4CE2">
        <w:rPr>
          <w:rFonts w:asciiTheme="majorHAnsi" w:hAnsiTheme="majorHAnsi" w:cs="Calibri"/>
          <w:i/>
        </w:rPr>
        <w:t>a la</w:t>
      </w:r>
      <w:r w:rsidR="00271567">
        <w:rPr>
          <w:rFonts w:asciiTheme="majorHAnsi" w:hAnsiTheme="majorHAnsi" w:cs="Calibri"/>
        </w:rPr>
        <w:t xml:space="preserve"> </w:t>
      </w:r>
      <w:r w:rsidR="00271567" w:rsidRPr="007575FA">
        <w:rPr>
          <w:rFonts w:asciiTheme="majorHAnsi" w:hAnsiTheme="majorHAnsi" w:cs="Calibri"/>
        </w:rPr>
        <w:t xml:space="preserve">Rodney </w:t>
      </w:r>
      <w:r w:rsidR="00271567">
        <w:rPr>
          <w:rFonts w:asciiTheme="majorHAnsi" w:hAnsiTheme="majorHAnsi" w:cs="Calibri"/>
        </w:rPr>
        <w:t>1973,</w:t>
      </w:r>
      <w:r w:rsidR="0004013C" w:rsidRPr="009B1B7E">
        <w:rPr>
          <w:rFonts w:asciiTheme="majorHAnsi" w:hAnsiTheme="majorHAnsi" w:cs="Calibri"/>
        </w:rPr>
        <w:t xml:space="preserve"> Wallerstein 1974</w:t>
      </w:r>
      <w:r w:rsidR="003B60E2">
        <w:rPr>
          <w:rFonts w:asciiTheme="majorHAnsi" w:hAnsiTheme="majorHAnsi" w:cs="Calibri"/>
        </w:rPr>
        <w:t xml:space="preserve">; </w:t>
      </w:r>
      <w:r w:rsidR="00271567">
        <w:rPr>
          <w:rFonts w:asciiTheme="majorHAnsi" w:hAnsiTheme="majorHAnsi" w:cs="Calibri"/>
        </w:rPr>
        <w:t>Wolf 1981</w:t>
      </w:r>
      <w:r w:rsidR="00A231CF">
        <w:rPr>
          <w:rFonts w:asciiTheme="majorHAnsi" w:hAnsiTheme="majorHAnsi" w:cs="Calibri"/>
        </w:rPr>
        <w:t>; Watts and Bohle 1993</w:t>
      </w:r>
      <w:r w:rsidR="0004013C" w:rsidRPr="009B1B7E">
        <w:rPr>
          <w:rFonts w:asciiTheme="majorHAnsi" w:hAnsiTheme="majorHAnsi" w:cs="Calibri"/>
        </w:rPr>
        <w:t xml:space="preserve">) </w:t>
      </w:r>
      <w:r w:rsidR="00264CF5" w:rsidRPr="009B1B7E">
        <w:rPr>
          <w:rFonts w:asciiTheme="majorHAnsi" w:hAnsiTheme="majorHAnsi" w:cs="Calibri"/>
        </w:rPr>
        <w:t xml:space="preserve">– </w:t>
      </w:r>
      <w:r w:rsidR="0004013C" w:rsidRPr="009B1B7E">
        <w:rPr>
          <w:rFonts w:asciiTheme="majorHAnsi" w:hAnsiTheme="majorHAnsi" w:cs="Calibri"/>
        </w:rPr>
        <w:t>is occlude</w:t>
      </w:r>
      <w:r w:rsidR="00264CF5" w:rsidRPr="009B1B7E">
        <w:rPr>
          <w:rFonts w:asciiTheme="majorHAnsi" w:hAnsiTheme="majorHAnsi" w:cs="Calibri"/>
        </w:rPr>
        <w:t xml:space="preserve">d, naturalized, made blameless. </w:t>
      </w:r>
      <w:r w:rsidR="003B42B9" w:rsidRPr="009B1B7E">
        <w:rPr>
          <w:rFonts w:asciiTheme="majorHAnsi" w:hAnsiTheme="majorHAnsi"/>
        </w:rPr>
        <w:t>In explaining the balance of attention</w:t>
      </w:r>
      <w:r w:rsidR="00264CF5" w:rsidRPr="009B1B7E">
        <w:rPr>
          <w:rFonts w:asciiTheme="majorHAnsi" w:hAnsiTheme="majorHAnsi"/>
        </w:rPr>
        <w:t xml:space="preserve"> across regions</w:t>
      </w:r>
      <w:r w:rsidR="003B42B9" w:rsidRPr="009B1B7E">
        <w:rPr>
          <w:rFonts w:asciiTheme="majorHAnsi" w:hAnsiTheme="majorHAnsi"/>
        </w:rPr>
        <w:t xml:space="preserve">, I think it would be fruitful to extend the analysis into a </w:t>
      </w:r>
      <w:r w:rsidR="007C05B2" w:rsidRPr="009B1B7E">
        <w:rPr>
          <w:rFonts w:asciiTheme="majorHAnsi" w:hAnsiTheme="majorHAnsi"/>
        </w:rPr>
        <w:t xml:space="preserve">broader </w:t>
      </w:r>
      <w:r w:rsidR="003B42B9" w:rsidRPr="009B1B7E">
        <w:rPr>
          <w:rFonts w:asciiTheme="majorHAnsi" w:hAnsiTheme="majorHAnsi"/>
        </w:rPr>
        <w:t xml:space="preserve">politics of </w:t>
      </w:r>
      <w:r w:rsidR="00264CF5" w:rsidRPr="009B1B7E">
        <w:rPr>
          <w:rFonts w:asciiTheme="majorHAnsi" w:hAnsiTheme="majorHAnsi"/>
        </w:rPr>
        <w:t>cause</w:t>
      </w:r>
      <w:r w:rsidR="003B42B9" w:rsidRPr="009B1B7E">
        <w:rPr>
          <w:rFonts w:asciiTheme="majorHAnsi" w:hAnsiTheme="majorHAnsi"/>
        </w:rPr>
        <w:t xml:space="preserve"> and blame. </w:t>
      </w:r>
      <w:r w:rsidR="00271567">
        <w:rPr>
          <w:rFonts w:asciiTheme="majorHAnsi" w:hAnsiTheme="majorHAnsi"/>
        </w:rPr>
        <w:t xml:space="preserve">Why is it that UNFCCC is willing only to restore people to their state of pre-change misery? </w:t>
      </w:r>
      <w:r w:rsidR="00F636CB">
        <w:rPr>
          <w:rFonts w:asciiTheme="majorHAnsi" w:hAnsiTheme="majorHAnsi"/>
        </w:rPr>
        <w:t>Why do the</w:t>
      </w:r>
      <w:r w:rsidR="000A6B83">
        <w:rPr>
          <w:rFonts w:asciiTheme="majorHAnsi" w:hAnsiTheme="majorHAnsi"/>
        </w:rPr>
        <w:t>y</w:t>
      </w:r>
      <w:r w:rsidR="00F636CB">
        <w:rPr>
          <w:rFonts w:asciiTheme="majorHAnsi" w:hAnsiTheme="majorHAnsi"/>
        </w:rPr>
        <w:t xml:space="preserve"> cordon off liability and obscure the root causes of the very problem they are charged with solving? </w:t>
      </w:r>
      <w:r w:rsidR="000A6B83">
        <w:rPr>
          <w:rFonts w:asciiTheme="majorHAnsi" w:hAnsiTheme="majorHAnsi"/>
        </w:rPr>
        <w:t>Where is the broader responsibility for pre-existing vulnerabilities equally produced in the crucible of global relations?</w:t>
      </w:r>
      <w:r w:rsidR="00974845">
        <w:rPr>
          <w:rFonts w:asciiTheme="majorHAnsi" w:hAnsiTheme="majorHAnsi"/>
        </w:rPr>
        <w:t xml:space="preserve"> </w:t>
      </w:r>
      <w:r w:rsidR="00EE79D8">
        <w:rPr>
          <w:rFonts w:asciiTheme="majorHAnsi" w:hAnsiTheme="majorHAnsi"/>
        </w:rPr>
        <w:t xml:space="preserve">Like the increment, the Artic and small islands seem easier to focus on – less daunting liabilities. </w:t>
      </w:r>
    </w:p>
    <w:p w14:paraId="57B57279" w14:textId="1CB599BB" w:rsidR="001D66CB" w:rsidRDefault="00264CF5" w:rsidP="00020209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 w:cs="Calibri"/>
        </w:rPr>
      </w:pPr>
      <w:r w:rsidRPr="009B1B7E">
        <w:rPr>
          <w:rFonts w:asciiTheme="majorHAnsi" w:hAnsiTheme="majorHAnsi" w:cs="Calibri"/>
        </w:rPr>
        <w:t xml:space="preserve">I am concerned with the </w:t>
      </w:r>
      <w:r w:rsidR="00F134C5" w:rsidRPr="009B1B7E">
        <w:rPr>
          <w:rFonts w:asciiTheme="majorHAnsi" w:hAnsiTheme="majorHAnsi" w:cs="Calibri"/>
        </w:rPr>
        <w:t xml:space="preserve">focus </w:t>
      </w:r>
      <w:r w:rsidR="00F636CB">
        <w:rPr>
          <w:rFonts w:asciiTheme="majorHAnsi" w:hAnsiTheme="majorHAnsi" w:cs="Calibri"/>
        </w:rPr>
        <w:t>that the anthropocene brings to climate while turning attention away from suffering.</w:t>
      </w:r>
      <w:r w:rsidR="00F134C5" w:rsidRPr="009B1B7E">
        <w:rPr>
          <w:rFonts w:asciiTheme="majorHAnsi" w:hAnsiTheme="majorHAnsi" w:cs="Calibri"/>
        </w:rPr>
        <w:t xml:space="preserve"> </w:t>
      </w:r>
      <w:r w:rsidRPr="009B1B7E">
        <w:rPr>
          <w:rFonts w:asciiTheme="majorHAnsi" w:hAnsiTheme="majorHAnsi" w:cs="Calibri"/>
        </w:rPr>
        <w:t>Were suffering the center of analysis, climate</w:t>
      </w:r>
      <w:r w:rsidR="00F636CB">
        <w:rPr>
          <w:rFonts w:asciiTheme="majorHAnsi" w:hAnsiTheme="majorHAnsi" w:cs="Calibri"/>
        </w:rPr>
        <w:t xml:space="preserve"> (and climate change)</w:t>
      </w:r>
      <w:r w:rsidRPr="009B1B7E">
        <w:rPr>
          <w:rFonts w:asciiTheme="majorHAnsi" w:hAnsiTheme="majorHAnsi" w:cs="Calibri"/>
        </w:rPr>
        <w:t xml:space="preserve"> would be one </w:t>
      </w:r>
      <w:r w:rsidR="007A3FE5">
        <w:rPr>
          <w:rFonts w:asciiTheme="majorHAnsi" w:hAnsiTheme="majorHAnsi" w:cs="Calibri"/>
        </w:rPr>
        <w:t xml:space="preserve">important </w:t>
      </w:r>
      <w:r w:rsidRPr="009B1B7E">
        <w:rPr>
          <w:rFonts w:asciiTheme="majorHAnsi" w:hAnsiTheme="majorHAnsi" w:cs="Calibri"/>
        </w:rPr>
        <w:t xml:space="preserve">stressor among many embedded in a set of </w:t>
      </w:r>
      <w:r w:rsidR="00F636CB">
        <w:rPr>
          <w:rFonts w:asciiTheme="majorHAnsi" w:hAnsiTheme="majorHAnsi" w:cs="Calibri"/>
        </w:rPr>
        <w:t xml:space="preserve">social, political and economic </w:t>
      </w:r>
      <w:r w:rsidRPr="009B1B7E">
        <w:rPr>
          <w:rFonts w:asciiTheme="majorHAnsi" w:hAnsiTheme="majorHAnsi" w:cs="Calibri"/>
        </w:rPr>
        <w:t xml:space="preserve">processes that produce and maintain marginality and </w:t>
      </w:r>
      <w:r w:rsidR="001D66CB" w:rsidRPr="009B1B7E">
        <w:rPr>
          <w:rFonts w:asciiTheme="majorHAnsi" w:hAnsiTheme="majorHAnsi" w:cs="Calibri"/>
        </w:rPr>
        <w:t xml:space="preserve">precarity. </w:t>
      </w:r>
      <w:r w:rsidR="007A3FE5">
        <w:rPr>
          <w:rFonts w:asciiTheme="majorHAnsi" w:hAnsiTheme="majorHAnsi" w:cs="Calibri"/>
        </w:rPr>
        <w:t>With rigorous causal analysis, r</w:t>
      </w:r>
      <w:r w:rsidR="001D66CB" w:rsidRPr="009B1B7E">
        <w:rPr>
          <w:rFonts w:asciiTheme="majorHAnsi" w:hAnsiTheme="majorHAnsi" w:cs="Calibri"/>
        </w:rPr>
        <w:t>esponsibility</w:t>
      </w:r>
      <w:r w:rsidR="007A3FE5">
        <w:rPr>
          <w:rFonts w:asciiTheme="majorHAnsi" w:hAnsiTheme="majorHAnsi" w:cs="Calibri"/>
        </w:rPr>
        <w:t xml:space="preserve"> for suffering and attention among </w:t>
      </w:r>
      <w:r w:rsidR="001D66CB" w:rsidRPr="009B1B7E">
        <w:rPr>
          <w:rFonts w:asciiTheme="majorHAnsi" w:hAnsiTheme="majorHAnsi" w:cs="Calibri"/>
        </w:rPr>
        <w:t>regions would be rebalanced. The c</w:t>
      </w:r>
      <w:r w:rsidR="00F134C5" w:rsidRPr="009B1B7E">
        <w:rPr>
          <w:rFonts w:asciiTheme="majorHAnsi" w:hAnsiTheme="majorHAnsi" w:cs="Calibri"/>
        </w:rPr>
        <w:t xml:space="preserve">limate community is focusing </w:t>
      </w:r>
      <w:r w:rsidR="009F1A78">
        <w:rPr>
          <w:rFonts w:asciiTheme="majorHAnsi" w:hAnsiTheme="majorHAnsi" w:cs="Calibri"/>
        </w:rPr>
        <w:t>too intently on</w:t>
      </w:r>
      <w:r w:rsidR="00F636CB">
        <w:rPr>
          <w:rFonts w:asciiTheme="majorHAnsi" w:hAnsiTheme="majorHAnsi" w:cs="Calibri"/>
        </w:rPr>
        <w:t xml:space="preserve"> the tip of the iceberg of causal histories.</w:t>
      </w:r>
      <w:r w:rsidR="00F134C5" w:rsidRPr="009B1B7E">
        <w:rPr>
          <w:rFonts w:asciiTheme="majorHAnsi" w:hAnsiTheme="majorHAnsi" w:cs="Calibri"/>
        </w:rPr>
        <w:t xml:space="preserve"> </w:t>
      </w:r>
      <w:r w:rsidR="001D66CB" w:rsidRPr="009B1B7E">
        <w:rPr>
          <w:rFonts w:asciiTheme="majorHAnsi" w:hAnsiTheme="majorHAnsi" w:cs="Calibri"/>
        </w:rPr>
        <w:t xml:space="preserve">It </w:t>
      </w:r>
      <w:r w:rsidR="000A6B83">
        <w:rPr>
          <w:rFonts w:asciiTheme="majorHAnsi" w:hAnsiTheme="majorHAnsi" w:cs="Calibri"/>
        </w:rPr>
        <w:t xml:space="preserve">has long been </w:t>
      </w:r>
      <w:r w:rsidR="001D66CB" w:rsidRPr="009B1B7E">
        <w:rPr>
          <w:rFonts w:asciiTheme="majorHAnsi" w:hAnsiTheme="majorHAnsi" w:cs="Calibri"/>
        </w:rPr>
        <w:t>clear that the best solution to climate-related vulnerability is to reduce vulnerabilities of those who are already at risk</w:t>
      </w:r>
      <w:r w:rsidR="003545F6">
        <w:rPr>
          <w:rFonts w:asciiTheme="majorHAnsi" w:hAnsiTheme="majorHAnsi" w:cs="Calibri"/>
        </w:rPr>
        <w:t xml:space="preserve"> (e.g. </w:t>
      </w:r>
      <w:r w:rsidR="003545F6" w:rsidRPr="00992DCA">
        <w:rPr>
          <w:rFonts w:asciiTheme="majorHAnsi" w:eastAsia="Times New Roman" w:hAnsiTheme="majorHAnsi"/>
          <w:shd w:val="clear" w:color="auto" w:fill="FFFFFF"/>
        </w:rPr>
        <w:t xml:space="preserve">Drèze and Sen 1989:60; </w:t>
      </w:r>
      <w:r w:rsidR="003545F6" w:rsidRPr="00992DCA">
        <w:rPr>
          <w:rFonts w:asciiTheme="majorHAnsi" w:hAnsiTheme="majorHAnsi" w:cs="Calibri"/>
        </w:rPr>
        <w:t xml:space="preserve">IPCC 2012:76; </w:t>
      </w:r>
      <w:r w:rsidR="003545F6" w:rsidRPr="00F93C29">
        <w:rPr>
          <w:rFonts w:asciiTheme="majorHAnsi" w:hAnsiTheme="majorHAnsi" w:cs="Calibri"/>
        </w:rPr>
        <w:t>European Commission 2013:5</w:t>
      </w:r>
      <w:r w:rsidR="003545F6">
        <w:rPr>
          <w:rFonts w:asciiTheme="majorHAnsi" w:hAnsiTheme="majorHAnsi" w:cs="Calibri"/>
        </w:rPr>
        <w:t>)</w:t>
      </w:r>
      <w:r w:rsidR="001D66CB" w:rsidRPr="009B1B7E">
        <w:rPr>
          <w:rFonts w:asciiTheme="majorHAnsi" w:hAnsiTheme="majorHAnsi" w:cs="Calibri"/>
        </w:rPr>
        <w:t xml:space="preserve">. Yet despite that the poor </w:t>
      </w:r>
      <w:r w:rsidR="00121DD4">
        <w:rPr>
          <w:rFonts w:asciiTheme="majorHAnsi" w:hAnsiTheme="majorHAnsi" w:cs="Calibri"/>
        </w:rPr>
        <w:t>live precarious</w:t>
      </w:r>
      <w:r w:rsidR="001D66CB" w:rsidRPr="009B1B7E">
        <w:rPr>
          <w:rFonts w:asciiTheme="majorHAnsi" w:hAnsiTheme="majorHAnsi" w:cs="Calibri"/>
        </w:rPr>
        <w:t xml:space="preserve"> </w:t>
      </w:r>
      <w:r w:rsidR="00121DD4">
        <w:rPr>
          <w:rFonts w:asciiTheme="majorHAnsi" w:hAnsiTheme="majorHAnsi" w:cs="Calibri"/>
        </w:rPr>
        <w:t xml:space="preserve">lives and that redressing their current precarity would reduce future risk, we </w:t>
      </w:r>
      <w:r w:rsidR="001D66CB" w:rsidRPr="009B1B7E">
        <w:rPr>
          <w:rFonts w:asciiTheme="majorHAnsi" w:hAnsiTheme="majorHAnsi" w:cs="Calibri"/>
        </w:rPr>
        <w:t xml:space="preserve">seem to be much more horrified by images of </w:t>
      </w:r>
      <w:r w:rsidR="00121DD4">
        <w:rPr>
          <w:rFonts w:asciiTheme="majorHAnsi" w:hAnsiTheme="majorHAnsi" w:cs="Calibri"/>
        </w:rPr>
        <w:t>future disasters than the present ongoing crisis</w:t>
      </w:r>
      <w:r w:rsidR="001D66CB" w:rsidRPr="009B1B7E">
        <w:rPr>
          <w:rFonts w:asciiTheme="majorHAnsi" w:hAnsiTheme="majorHAnsi" w:cs="Calibri"/>
        </w:rPr>
        <w:t xml:space="preserve">. Attention needs to be recalibrated. This article is a brilliant start to that rebalancing process. </w:t>
      </w:r>
      <w:r w:rsidR="00AD4900">
        <w:rPr>
          <w:rFonts w:asciiTheme="majorHAnsi" w:hAnsiTheme="majorHAnsi" w:cs="Calibri"/>
        </w:rPr>
        <w:t xml:space="preserve">Nobody in 2013, in the world’s wealthiest generation in history, should be left up to their neck awaiting the wave that will drown them. </w:t>
      </w:r>
    </w:p>
    <w:p w14:paraId="18B07C06" w14:textId="77777777" w:rsidR="004D4CE2" w:rsidRDefault="004D4CE2" w:rsidP="00020209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 w:cs="Calibri"/>
        </w:rPr>
      </w:pPr>
    </w:p>
    <w:p w14:paraId="7036A73E" w14:textId="599330B3" w:rsidR="009408EB" w:rsidRPr="00C408AF" w:rsidRDefault="004D4CE2" w:rsidP="001C3E29">
      <w:pPr>
        <w:widowControl w:val="0"/>
        <w:autoSpaceDE w:val="0"/>
        <w:autoSpaceDN w:val="0"/>
        <w:adjustRightInd w:val="0"/>
        <w:spacing w:after="60"/>
        <w:rPr>
          <w:rStyle w:val="Emphasis"/>
          <w:rFonts w:asciiTheme="majorHAnsi" w:hAnsiTheme="majorHAnsi" w:cs="Calibri"/>
          <w:b/>
          <w:i w:val="0"/>
          <w:iCs w:val="0"/>
        </w:rPr>
      </w:pPr>
      <w:r w:rsidRPr="00C408AF">
        <w:rPr>
          <w:rFonts w:asciiTheme="majorHAnsi" w:hAnsiTheme="majorHAnsi" w:cs="Calibri"/>
          <w:b/>
        </w:rPr>
        <w:t>References</w:t>
      </w:r>
      <w:r w:rsidRPr="00C408AF">
        <w:rPr>
          <w:rFonts w:asciiTheme="majorHAnsi" w:hAnsiTheme="majorHAnsi"/>
          <w:b/>
        </w:rPr>
        <w:t xml:space="preserve"> </w:t>
      </w:r>
    </w:p>
    <w:p w14:paraId="01E1E819" w14:textId="77777777" w:rsidR="003545F6" w:rsidRPr="003545F6" w:rsidRDefault="003545F6" w:rsidP="003545F6">
      <w:pPr>
        <w:tabs>
          <w:tab w:val="left" w:pos="-720"/>
        </w:tabs>
        <w:suppressAutoHyphens/>
        <w:ind w:left="720" w:hanging="720"/>
        <w:rPr>
          <w:rFonts w:asciiTheme="majorHAnsi" w:hAnsiTheme="majorHAnsi" w:cs="Calibri"/>
          <w:spacing w:val="-3"/>
        </w:rPr>
      </w:pPr>
      <w:r w:rsidRPr="003545F6">
        <w:rPr>
          <w:rFonts w:asciiTheme="majorHAnsi" w:hAnsiTheme="majorHAnsi" w:cs="Calibri"/>
          <w:spacing w:val="-3"/>
        </w:rPr>
        <w:lastRenderedPageBreak/>
        <w:t xml:space="preserve">Drèze, J. and A. Sen. 1989. </w:t>
      </w:r>
      <w:r w:rsidRPr="003545F6">
        <w:rPr>
          <w:rFonts w:asciiTheme="majorHAnsi" w:hAnsiTheme="majorHAnsi" w:cs="Calibri"/>
          <w:i/>
          <w:spacing w:val="-3"/>
        </w:rPr>
        <w:t>Hunger and public action</w:t>
      </w:r>
      <w:r w:rsidRPr="003545F6">
        <w:rPr>
          <w:rFonts w:asciiTheme="majorHAnsi" w:hAnsiTheme="majorHAnsi" w:cs="Calibri"/>
          <w:spacing w:val="-3"/>
        </w:rPr>
        <w:t>. Oxford: Clarendon Press.</w:t>
      </w:r>
    </w:p>
    <w:p w14:paraId="3CADEE35" w14:textId="77777777" w:rsidR="003545F6" w:rsidRPr="003545F6" w:rsidRDefault="003545F6" w:rsidP="003545F6">
      <w:pPr>
        <w:ind w:left="720" w:hanging="720"/>
        <w:rPr>
          <w:rFonts w:asciiTheme="majorHAnsi" w:hAnsiTheme="majorHAnsi" w:cs="Times"/>
        </w:rPr>
      </w:pPr>
      <w:r w:rsidRPr="003545F6">
        <w:rPr>
          <w:rFonts w:asciiTheme="majorHAnsi" w:hAnsiTheme="majorHAnsi" w:cs="Times"/>
        </w:rPr>
        <w:t>European Commission. 2013. “Climate change, environmental degradation, and migration.” Commission Staff Working Document 138. Brussels.</w:t>
      </w:r>
    </w:p>
    <w:p w14:paraId="0412EC40" w14:textId="181C65F7" w:rsidR="003545F6" w:rsidRPr="003545F6" w:rsidRDefault="003545F6" w:rsidP="003545F6">
      <w:pPr>
        <w:ind w:left="720" w:hanging="720"/>
        <w:rPr>
          <w:rFonts w:asciiTheme="majorHAnsi" w:hAnsiTheme="majorHAnsi" w:cs="Calibri"/>
        </w:rPr>
      </w:pPr>
      <w:r w:rsidRPr="003545F6">
        <w:rPr>
          <w:rFonts w:asciiTheme="majorHAnsi" w:hAnsiTheme="majorHAnsi" w:cs="Times New Roman"/>
        </w:rPr>
        <w:t xml:space="preserve">IPCC. 2012. Managing the risks of extreme events and disasters to advance climate change adaptation. In: C.B. Field, V. Barros, T.F. Stocker, D. Qin, D.J. Dokken, K.L. Ebi, M.D. Mastrandrea, K.J. Mach, G.-K. Plattner, S.K. Allen, M. Tignor and P.M. Midgley, eds. </w:t>
      </w:r>
      <w:r w:rsidRPr="003545F6">
        <w:rPr>
          <w:rFonts w:asciiTheme="majorHAnsi" w:hAnsiTheme="majorHAnsi" w:cs="Times New Roman"/>
          <w:i/>
        </w:rPr>
        <w:t>A special report of Working Groups I and II of the Intergovernmental Panel on Climate Change</w:t>
      </w:r>
      <w:r w:rsidRPr="003545F6">
        <w:rPr>
          <w:rFonts w:asciiTheme="majorHAnsi" w:hAnsiTheme="majorHAnsi" w:cs="Times New Roman"/>
        </w:rPr>
        <w:t>. NY: Cambridge University Press.</w:t>
      </w:r>
    </w:p>
    <w:p w14:paraId="2CDDCE47" w14:textId="77777777" w:rsidR="001C3E29" w:rsidRPr="003545F6" w:rsidRDefault="009408EB" w:rsidP="001C3E29">
      <w:pPr>
        <w:ind w:left="720" w:hanging="720"/>
        <w:rPr>
          <w:rFonts w:asciiTheme="majorHAnsi" w:hAnsiTheme="majorHAnsi" w:cs="Times"/>
        </w:rPr>
      </w:pPr>
      <w:r w:rsidRPr="003545F6">
        <w:rPr>
          <w:rFonts w:asciiTheme="majorHAnsi" w:hAnsiTheme="majorHAnsi" w:cs="Times"/>
        </w:rPr>
        <w:t>Khan,</w:t>
      </w:r>
      <w:r w:rsidRPr="003545F6">
        <w:rPr>
          <w:rFonts w:asciiTheme="majorHAnsi" w:hAnsiTheme="majorHAnsi" w:cs="Times"/>
          <w:position w:val="10"/>
        </w:rPr>
        <w:t xml:space="preserve"> </w:t>
      </w:r>
      <w:r w:rsidRPr="003545F6">
        <w:rPr>
          <w:rFonts w:asciiTheme="majorHAnsi" w:hAnsiTheme="majorHAnsi" w:cs="Times"/>
        </w:rPr>
        <w:t>M.R.</w:t>
      </w:r>
      <w:r w:rsidRPr="003545F6">
        <w:rPr>
          <w:rFonts w:asciiTheme="majorHAnsi" w:hAnsiTheme="majorHAnsi" w:cs="Times"/>
          <w:position w:val="10"/>
        </w:rPr>
        <w:t xml:space="preserve"> </w:t>
      </w:r>
      <w:r w:rsidRPr="003545F6">
        <w:rPr>
          <w:rFonts w:asciiTheme="majorHAnsi" w:hAnsiTheme="majorHAnsi" w:cs="Times"/>
        </w:rPr>
        <w:t>and J.T. Roberts. 2013.</w:t>
      </w:r>
      <w:r w:rsidRPr="003545F6">
        <w:rPr>
          <w:rFonts w:asciiTheme="majorHAnsi" w:hAnsiTheme="majorHAnsi" w:cs="Palatino"/>
        </w:rPr>
        <w:t xml:space="preserve"> Adaptation and international climate policy.</w:t>
      </w:r>
      <w:r w:rsidRPr="003545F6">
        <w:rPr>
          <w:rFonts w:asciiTheme="majorHAnsi" w:hAnsiTheme="majorHAnsi" w:cs="Times"/>
          <w:i/>
          <w:iCs/>
        </w:rPr>
        <w:t xml:space="preserve"> WIREs Climate Change, </w:t>
      </w:r>
      <w:r w:rsidRPr="003545F6">
        <w:rPr>
          <w:rFonts w:asciiTheme="majorHAnsi" w:hAnsiTheme="majorHAnsi" w:cs="Times"/>
        </w:rPr>
        <w:t xml:space="preserve">Volume 4, 171–189. </w:t>
      </w:r>
    </w:p>
    <w:p w14:paraId="33320207" w14:textId="77777777" w:rsidR="001C3E29" w:rsidRPr="003545F6" w:rsidRDefault="009408EB" w:rsidP="001C3E29">
      <w:pPr>
        <w:ind w:left="720" w:hanging="720"/>
        <w:rPr>
          <w:rFonts w:asciiTheme="majorHAnsi" w:hAnsiTheme="majorHAnsi" w:cs="Times"/>
        </w:rPr>
      </w:pPr>
      <w:r w:rsidRPr="003545F6">
        <w:rPr>
          <w:rStyle w:val="Emphasis"/>
          <w:rFonts w:asciiTheme="majorHAnsi" w:hAnsiTheme="majorHAnsi"/>
          <w:bCs/>
          <w:i w:val="0"/>
          <w:shd w:val="clear" w:color="auto" w:fill="FFFFFF"/>
        </w:rPr>
        <w:t xml:space="preserve">Rodney, W. 1973. </w:t>
      </w:r>
      <w:r w:rsidRPr="003545F6">
        <w:rPr>
          <w:rStyle w:val="Emphasis"/>
          <w:rFonts w:asciiTheme="majorHAnsi" w:hAnsiTheme="majorHAnsi"/>
          <w:bCs/>
          <w:shd w:val="clear" w:color="auto" w:fill="FFFFFF"/>
        </w:rPr>
        <w:t>How Europe underdeveloped Africa</w:t>
      </w:r>
      <w:r w:rsidRPr="003545F6">
        <w:rPr>
          <w:rStyle w:val="Emphasis"/>
          <w:rFonts w:asciiTheme="majorHAnsi" w:hAnsiTheme="majorHAnsi"/>
          <w:bCs/>
          <w:i w:val="0"/>
          <w:shd w:val="clear" w:color="auto" w:fill="FFFFFF"/>
        </w:rPr>
        <w:t>. London and Dar es Salaam: Bogle-L’Ouverture Publications.</w:t>
      </w:r>
    </w:p>
    <w:p w14:paraId="0880D61B" w14:textId="77777777" w:rsidR="003545F6" w:rsidRPr="003545F6" w:rsidRDefault="003545F6" w:rsidP="003545F6">
      <w:pPr>
        <w:tabs>
          <w:tab w:val="left" w:pos="-720"/>
        </w:tabs>
        <w:suppressAutoHyphens/>
        <w:ind w:left="720" w:hanging="720"/>
        <w:rPr>
          <w:rFonts w:asciiTheme="majorHAnsi" w:hAnsiTheme="majorHAnsi" w:cs="Calibri"/>
          <w:spacing w:val="-3"/>
        </w:rPr>
      </w:pPr>
      <w:r w:rsidRPr="003545F6">
        <w:rPr>
          <w:rFonts w:asciiTheme="majorHAnsi" w:hAnsiTheme="majorHAnsi" w:cs="Calibri"/>
          <w:spacing w:val="-3"/>
        </w:rPr>
        <w:t xml:space="preserve">Scott, J. 1976. </w:t>
      </w:r>
      <w:r w:rsidRPr="003545F6">
        <w:rPr>
          <w:rFonts w:asciiTheme="majorHAnsi" w:hAnsiTheme="majorHAnsi" w:cs="Calibri"/>
          <w:i/>
          <w:spacing w:val="-3"/>
        </w:rPr>
        <w:t>The moral economy of the peasant</w:t>
      </w:r>
      <w:r w:rsidRPr="003545F6">
        <w:rPr>
          <w:rFonts w:asciiTheme="majorHAnsi" w:hAnsiTheme="majorHAnsi" w:cs="Calibri"/>
          <w:spacing w:val="-3"/>
        </w:rPr>
        <w:t>. New Haven: Yale University Press.</w:t>
      </w:r>
    </w:p>
    <w:p w14:paraId="350848B4" w14:textId="2084893B" w:rsidR="004D4CE2" w:rsidRPr="003545F6" w:rsidRDefault="009408EB" w:rsidP="001C3E29">
      <w:pPr>
        <w:ind w:left="720" w:hanging="720"/>
        <w:rPr>
          <w:rFonts w:asciiTheme="majorHAnsi" w:hAnsiTheme="majorHAnsi" w:cs="Times"/>
        </w:rPr>
      </w:pPr>
      <w:r w:rsidRPr="003545F6">
        <w:rPr>
          <w:rFonts w:asciiTheme="majorHAnsi" w:hAnsiTheme="majorHAnsi"/>
        </w:rPr>
        <w:t xml:space="preserve">United Nations Convention to Combat Desertification (UNCCD). 2011. </w:t>
      </w:r>
      <w:r w:rsidRPr="003545F6">
        <w:rPr>
          <w:rFonts w:asciiTheme="majorHAnsi" w:hAnsiTheme="majorHAnsi"/>
          <w:i/>
        </w:rPr>
        <w:t>The forgotten billion: MDG achievement in the drylands</w:t>
      </w:r>
      <w:r w:rsidRPr="003545F6">
        <w:rPr>
          <w:rFonts w:asciiTheme="majorHAnsi" w:hAnsiTheme="majorHAnsi"/>
        </w:rPr>
        <w:t>. New York/Bonn: United Nations Development Programme/United Convention to Combat Desertification</w:t>
      </w:r>
    </w:p>
    <w:p w14:paraId="477428DC" w14:textId="77777777" w:rsidR="009408EB" w:rsidRPr="000A6B83" w:rsidRDefault="009408EB" w:rsidP="009408EB">
      <w:pPr>
        <w:ind w:left="720" w:hanging="720"/>
        <w:rPr>
          <w:rFonts w:asciiTheme="majorHAnsi" w:hAnsiTheme="majorHAnsi" w:cs="Calibri"/>
          <w:spacing w:val="-3"/>
        </w:rPr>
      </w:pPr>
      <w:r w:rsidRPr="003545F6">
        <w:rPr>
          <w:rFonts w:asciiTheme="majorHAnsi" w:hAnsiTheme="majorHAnsi" w:cs="Calibri"/>
          <w:spacing w:val="-3"/>
        </w:rPr>
        <w:t xml:space="preserve">Wallerstein, I. 1974. </w:t>
      </w:r>
      <w:r w:rsidRPr="003545F6">
        <w:rPr>
          <w:rFonts w:asciiTheme="majorHAnsi" w:hAnsiTheme="majorHAnsi" w:cs="Calibri"/>
          <w:i/>
          <w:spacing w:val="-3"/>
        </w:rPr>
        <w:t>The modern world system I: capitalist agriculture and the origins of the European world-economy</w:t>
      </w:r>
      <w:r w:rsidRPr="000A6B83">
        <w:rPr>
          <w:rFonts w:asciiTheme="majorHAnsi" w:hAnsiTheme="majorHAnsi" w:cs="Calibri"/>
          <w:i/>
          <w:spacing w:val="-3"/>
        </w:rPr>
        <w:t xml:space="preserve"> in the sixteenth century</w:t>
      </w:r>
      <w:r w:rsidRPr="000A6B83">
        <w:rPr>
          <w:rFonts w:asciiTheme="majorHAnsi" w:hAnsiTheme="majorHAnsi" w:cs="Calibri"/>
          <w:spacing w:val="-3"/>
        </w:rPr>
        <w:t>. New York: Academic Press.</w:t>
      </w:r>
    </w:p>
    <w:p w14:paraId="18879E2C" w14:textId="13B41E69" w:rsidR="000A6B83" w:rsidRPr="000A6B83" w:rsidRDefault="000A6B83" w:rsidP="000A6B83">
      <w:pPr>
        <w:ind w:left="720" w:hanging="720"/>
        <w:rPr>
          <w:rFonts w:asciiTheme="majorHAnsi" w:hAnsiTheme="majorHAnsi" w:cs="Calibri"/>
        </w:rPr>
      </w:pPr>
      <w:r w:rsidRPr="000A6B83">
        <w:rPr>
          <w:rFonts w:asciiTheme="majorHAnsi" w:hAnsiTheme="majorHAnsi" w:cs="Calibri"/>
          <w:spacing w:val="-3"/>
        </w:rPr>
        <w:t xml:space="preserve">Watts, M.J. and H. Bohle. 1993. The space of vulnerability: the causal structure of hunger and famine. </w:t>
      </w:r>
      <w:r w:rsidRPr="000A6B83">
        <w:rPr>
          <w:rFonts w:asciiTheme="majorHAnsi" w:hAnsiTheme="majorHAnsi" w:cs="Calibri"/>
          <w:i/>
          <w:spacing w:val="-3"/>
        </w:rPr>
        <w:t>Progress in Human Geography</w:t>
      </w:r>
      <w:r w:rsidRPr="000A6B83">
        <w:rPr>
          <w:rFonts w:asciiTheme="majorHAnsi" w:hAnsiTheme="majorHAnsi" w:cs="Calibri"/>
          <w:spacing w:val="-3"/>
        </w:rPr>
        <w:t>, 17(1), 43-68.</w:t>
      </w:r>
    </w:p>
    <w:p w14:paraId="7C11B9B0" w14:textId="77777777" w:rsidR="009408EB" w:rsidRPr="00FC08CF" w:rsidRDefault="009408EB" w:rsidP="009408EB">
      <w:pPr>
        <w:ind w:left="720" w:hanging="720"/>
        <w:rPr>
          <w:rFonts w:asciiTheme="majorHAnsi" w:hAnsiTheme="majorHAnsi" w:cs="Calibri"/>
          <w:iCs/>
        </w:rPr>
      </w:pPr>
      <w:r w:rsidRPr="000A6B83">
        <w:rPr>
          <w:rFonts w:asciiTheme="majorHAnsi" w:hAnsiTheme="majorHAnsi" w:cs="Calibri"/>
          <w:iCs/>
        </w:rPr>
        <w:t xml:space="preserve">Wolf, E. 1981.  </w:t>
      </w:r>
      <w:r w:rsidRPr="000A6B83">
        <w:rPr>
          <w:rFonts w:asciiTheme="majorHAnsi" w:hAnsiTheme="majorHAnsi" w:cs="Calibri"/>
          <w:i/>
          <w:iCs/>
        </w:rPr>
        <w:t>Europe</w:t>
      </w:r>
      <w:r w:rsidRPr="00FC08CF">
        <w:rPr>
          <w:rFonts w:asciiTheme="majorHAnsi" w:hAnsiTheme="majorHAnsi" w:cs="Calibri"/>
          <w:i/>
          <w:iCs/>
        </w:rPr>
        <w:t xml:space="preserve"> and the people without history</w:t>
      </w:r>
      <w:r w:rsidRPr="00FC08CF">
        <w:rPr>
          <w:rFonts w:asciiTheme="majorHAnsi" w:hAnsiTheme="majorHAnsi" w:cs="Calibri"/>
          <w:iCs/>
        </w:rPr>
        <w:t>. Los Angeles: University of California Press.</w:t>
      </w:r>
    </w:p>
    <w:p w14:paraId="67B5E08B" w14:textId="77777777" w:rsidR="009408EB" w:rsidRPr="00FC08CF" w:rsidRDefault="009408EB" w:rsidP="00020209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 w:cs="Calibri"/>
        </w:rPr>
      </w:pPr>
    </w:p>
    <w:sectPr w:rsidR="009408EB" w:rsidRPr="00FC08CF" w:rsidSect="002C45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8D9D5" w14:textId="77777777" w:rsidR="00647F0C" w:rsidRDefault="00647F0C" w:rsidP="001C3201">
      <w:r>
        <w:separator/>
      </w:r>
    </w:p>
  </w:endnote>
  <w:endnote w:type="continuationSeparator" w:id="0">
    <w:p w14:paraId="064FADB6" w14:textId="77777777" w:rsidR="00647F0C" w:rsidRDefault="00647F0C" w:rsidP="001C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1CD5E" w14:textId="77777777" w:rsidR="00647F0C" w:rsidRDefault="00647F0C" w:rsidP="001C3201">
      <w:r>
        <w:separator/>
      </w:r>
    </w:p>
  </w:footnote>
  <w:footnote w:type="continuationSeparator" w:id="0">
    <w:p w14:paraId="34C69211" w14:textId="77777777" w:rsidR="00647F0C" w:rsidRDefault="00647F0C" w:rsidP="001C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A5570"/>
    <w:multiLevelType w:val="hybridMultilevel"/>
    <w:tmpl w:val="327C34AC"/>
    <w:lvl w:ilvl="0" w:tplc="9654B9A2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756"/>
    <w:rsid w:val="000021EC"/>
    <w:rsid w:val="00020209"/>
    <w:rsid w:val="000363E0"/>
    <w:rsid w:val="0004013C"/>
    <w:rsid w:val="0004362C"/>
    <w:rsid w:val="00063DC6"/>
    <w:rsid w:val="00066396"/>
    <w:rsid w:val="000713BE"/>
    <w:rsid w:val="0009042E"/>
    <w:rsid w:val="000957BE"/>
    <w:rsid w:val="000A6B83"/>
    <w:rsid w:val="000C4A0E"/>
    <w:rsid w:val="000D5C29"/>
    <w:rsid w:val="000F736A"/>
    <w:rsid w:val="001064BC"/>
    <w:rsid w:val="00107DE8"/>
    <w:rsid w:val="00116F10"/>
    <w:rsid w:val="00121DD4"/>
    <w:rsid w:val="001403D4"/>
    <w:rsid w:val="001438A0"/>
    <w:rsid w:val="00176310"/>
    <w:rsid w:val="00176E8C"/>
    <w:rsid w:val="00193506"/>
    <w:rsid w:val="00196271"/>
    <w:rsid w:val="001C3201"/>
    <w:rsid w:val="001C3E29"/>
    <w:rsid w:val="001D5880"/>
    <w:rsid w:val="001D66B1"/>
    <w:rsid w:val="001D66CB"/>
    <w:rsid w:val="001E3978"/>
    <w:rsid w:val="00231176"/>
    <w:rsid w:val="00234F46"/>
    <w:rsid w:val="00241F08"/>
    <w:rsid w:val="00255A31"/>
    <w:rsid w:val="002604F7"/>
    <w:rsid w:val="00264CF5"/>
    <w:rsid w:val="00271567"/>
    <w:rsid w:val="002747AE"/>
    <w:rsid w:val="00283591"/>
    <w:rsid w:val="002B7C17"/>
    <w:rsid w:val="002C45F5"/>
    <w:rsid w:val="00326A3F"/>
    <w:rsid w:val="003402DF"/>
    <w:rsid w:val="00343B2A"/>
    <w:rsid w:val="00344E3C"/>
    <w:rsid w:val="00344E61"/>
    <w:rsid w:val="00353EA7"/>
    <w:rsid w:val="003545F6"/>
    <w:rsid w:val="0035715C"/>
    <w:rsid w:val="003712C4"/>
    <w:rsid w:val="003827FE"/>
    <w:rsid w:val="00384CCC"/>
    <w:rsid w:val="003B2A1F"/>
    <w:rsid w:val="003B42B9"/>
    <w:rsid w:val="003B60E2"/>
    <w:rsid w:val="003B7595"/>
    <w:rsid w:val="003C390E"/>
    <w:rsid w:val="003D6286"/>
    <w:rsid w:val="003F2618"/>
    <w:rsid w:val="003F749E"/>
    <w:rsid w:val="004049C0"/>
    <w:rsid w:val="00454F84"/>
    <w:rsid w:val="004663FD"/>
    <w:rsid w:val="00466998"/>
    <w:rsid w:val="00477042"/>
    <w:rsid w:val="004A46C5"/>
    <w:rsid w:val="004A57F4"/>
    <w:rsid w:val="004C2221"/>
    <w:rsid w:val="004D4CE2"/>
    <w:rsid w:val="004E2F11"/>
    <w:rsid w:val="004F13F9"/>
    <w:rsid w:val="004F603E"/>
    <w:rsid w:val="00534220"/>
    <w:rsid w:val="00541B55"/>
    <w:rsid w:val="00553ECE"/>
    <w:rsid w:val="0057521A"/>
    <w:rsid w:val="005758CA"/>
    <w:rsid w:val="005A444F"/>
    <w:rsid w:val="005C0184"/>
    <w:rsid w:val="00616756"/>
    <w:rsid w:val="00617536"/>
    <w:rsid w:val="00643E73"/>
    <w:rsid w:val="00647F0C"/>
    <w:rsid w:val="00661BAA"/>
    <w:rsid w:val="00666AB3"/>
    <w:rsid w:val="0066767C"/>
    <w:rsid w:val="006716A3"/>
    <w:rsid w:val="006C3883"/>
    <w:rsid w:val="006F3795"/>
    <w:rsid w:val="006F43D6"/>
    <w:rsid w:val="00723E86"/>
    <w:rsid w:val="007370E3"/>
    <w:rsid w:val="007426B3"/>
    <w:rsid w:val="0075477F"/>
    <w:rsid w:val="0076191E"/>
    <w:rsid w:val="007774F9"/>
    <w:rsid w:val="00792010"/>
    <w:rsid w:val="00792B0D"/>
    <w:rsid w:val="007A3FE5"/>
    <w:rsid w:val="007B49A3"/>
    <w:rsid w:val="007B5EF7"/>
    <w:rsid w:val="007C05B2"/>
    <w:rsid w:val="007E293F"/>
    <w:rsid w:val="007E545D"/>
    <w:rsid w:val="007F7EC2"/>
    <w:rsid w:val="008156B5"/>
    <w:rsid w:val="008653D3"/>
    <w:rsid w:val="0088355A"/>
    <w:rsid w:val="008B14D5"/>
    <w:rsid w:val="008B3E0F"/>
    <w:rsid w:val="008B71F2"/>
    <w:rsid w:val="008D1A07"/>
    <w:rsid w:val="008E519C"/>
    <w:rsid w:val="008F63F9"/>
    <w:rsid w:val="0090623E"/>
    <w:rsid w:val="009408EB"/>
    <w:rsid w:val="009412AD"/>
    <w:rsid w:val="00974845"/>
    <w:rsid w:val="00977E9D"/>
    <w:rsid w:val="009849FD"/>
    <w:rsid w:val="009A48A3"/>
    <w:rsid w:val="009B1B7E"/>
    <w:rsid w:val="009D3108"/>
    <w:rsid w:val="009F1A78"/>
    <w:rsid w:val="00A05FA8"/>
    <w:rsid w:val="00A231CF"/>
    <w:rsid w:val="00A26196"/>
    <w:rsid w:val="00A44DFA"/>
    <w:rsid w:val="00A65104"/>
    <w:rsid w:val="00A76A53"/>
    <w:rsid w:val="00A9404C"/>
    <w:rsid w:val="00AD4900"/>
    <w:rsid w:val="00AF68B3"/>
    <w:rsid w:val="00B479A1"/>
    <w:rsid w:val="00B6704A"/>
    <w:rsid w:val="00B82444"/>
    <w:rsid w:val="00B93257"/>
    <w:rsid w:val="00BA4378"/>
    <w:rsid w:val="00BA44B7"/>
    <w:rsid w:val="00BA674B"/>
    <w:rsid w:val="00BB5C88"/>
    <w:rsid w:val="00BB6ADD"/>
    <w:rsid w:val="00BB7853"/>
    <w:rsid w:val="00C0611A"/>
    <w:rsid w:val="00C1799A"/>
    <w:rsid w:val="00C408AF"/>
    <w:rsid w:val="00C61893"/>
    <w:rsid w:val="00C72F90"/>
    <w:rsid w:val="00C81666"/>
    <w:rsid w:val="00C8280B"/>
    <w:rsid w:val="00C82FC2"/>
    <w:rsid w:val="00CB23D7"/>
    <w:rsid w:val="00CB7955"/>
    <w:rsid w:val="00D10B91"/>
    <w:rsid w:val="00D13146"/>
    <w:rsid w:val="00D13FF4"/>
    <w:rsid w:val="00D45CED"/>
    <w:rsid w:val="00D679A1"/>
    <w:rsid w:val="00D71081"/>
    <w:rsid w:val="00D85C59"/>
    <w:rsid w:val="00D87DA8"/>
    <w:rsid w:val="00DD5DFC"/>
    <w:rsid w:val="00DD7153"/>
    <w:rsid w:val="00DE3B60"/>
    <w:rsid w:val="00DE5905"/>
    <w:rsid w:val="00DF083F"/>
    <w:rsid w:val="00E11CAD"/>
    <w:rsid w:val="00E24B83"/>
    <w:rsid w:val="00E3713B"/>
    <w:rsid w:val="00E532FD"/>
    <w:rsid w:val="00E62700"/>
    <w:rsid w:val="00E6337A"/>
    <w:rsid w:val="00E76665"/>
    <w:rsid w:val="00EA1CF0"/>
    <w:rsid w:val="00ED2E1C"/>
    <w:rsid w:val="00ED50E9"/>
    <w:rsid w:val="00EE79B2"/>
    <w:rsid w:val="00EE79D8"/>
    <w:rsid w:val="00EF43BE"/>
    <w:rsid w:val="00F134C5"/>
    <w:rsid w:val="00F25A4C"/>
    <w:rsid w:val="00F4126D"/>
    <w:rsid w:val="00F636CB"/>
    <w:rsid w:val="00F7465A"/>
    <w:rsid w:val="00F75A9F"/>
    <w:rsid w:val="00FA53E9"/>
    <w:rsid w:val="00FC08CF"/>
    <w:rsid w:val="00FC5176"/>
    <w:rsid w:val="00FD130D"/>
    <w:rsid w:val="00FD3F81"/>
    <w:rsid w:val="00FD4A4B"/>
    <w:rsid w:val="00FD6462"/>
    <w:rsid w:val="00FE0C35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415B9"/>
  <w14:defaultImageDpi w14:val="300"/>
  <w15:docId w15:val="{4BBD476C-2A8E-D848-883D-796EAE61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3FF4"/>
  </w:style>
  <w:style w:type="character" w:customStyle="1" w:styleId="il">
    <w:name w:val="il"/>
    <w:basedOn w:val="DefaultParagraphFont"/>
    <w:rsid w:val="00D13FF4"/>
  </w:style>
  <w:style w:type="character" w:customStyle="1" w:styleId="aqj">
    <w:name w:val="aqj"/>
    <w:basedOn w:val="DefaultParagraphFont"/>
    <w:rsid w:val="00D13FF4"/>
  </w:style>
  <w:style w:type="character" w:styleId="Hyperlink">
    <w:name w:val="Hyperlink"/>
    <w:basedOn w:val="DefaultParagraphFont"/>
    <w:unhideWhenUsed/>
    <w:rsid w:val="00D13F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176"/>
    <w:pPr>
      <w:ind w:left="720"/>
      <w:contextualSpacing/>
    </w:pPr>
  </w:style>
  <w:style w:type="character" w:styleId="FootnoteReference">
    <w:name w:val="footnote reference"/>
    <w:unhideWhenUsed/>
    <w:rsid w:val="001C3201"/>
    <w:rPr>
      <w:vertAlign w:val="superscript"/>
    </w:rPr>
  </w:style>
  <w:style w:type="table" w:styleId="TableGrid">
    <w:name w:val="Table Grid"/>
    <w:basedOn w:val="TableNormal"/>
    <w:uiPriority w:val="59"/>
    <w:rsid w:val="004D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4CE2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940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1140</Words>
  <Characters>6501</Characters>
  <Application>Microsoft Office Word</Application>
  <DocSecurity>0</DocSecurity>
  <Lines>54</Lines>
  <Paragraphs>15</Paragraphs>
  <ScaleCrop>false</ScaleCrop>
  <Company>UIUC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 Reviewer</dc:creator>
  <cp:keywords/>
  <dc:description/>
  <cp:lastModifiedBy>Post Post Human2</cp:lastModifiedBy>
  <cp:revision>22</cp:revision>
  <dcterms:created xsi:type="dcterms:W3CDTF">2013-11-13T02:11:00Z</dcterms:created>
  <dcterms:modified xsi:type="dcterms:W3CDTF">2018-09-20T15:02:00Z</dcterms:modified>
</cp:coreProperties>
</file>